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AF" w:rsidRDefault="007664AF" w:rsidP="00000EB1">
      <w:pPr>
        <w:pStyle w:val="1"/>
        <w:rPr>
          <w:color w:val="auto"/>
          <w:sz w:val="28"/>
          <w:szCs w:val="28"/>
        </w:rPr>
      </w:pPr>
      <w:bookmarkStart w:id="0" w:name="sub_1151"/>
    </w:p>
    <w:p w:rsidR="003F6C6C" w:rsidRPr="005D17FA" w:rsidRDefault="003F6C6C" w:rsidP="00000EB1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D53743">
      <w:pPr>
        <w:pStyle w:val="1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D53743">
      <w:pPr>
        <w:widowControl/>
        <w:autoSpaceDE/>
        <w:autoSpaceDN/>
        <w:adjustRightInd/>
        <w:spacing w:line="100" w:lineRule="atLeas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045BCA" w:rsidP="00903B4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ус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систем).</w:t>
      </w:r>
    </w:p>
    <w:p w:rsidR="000852BA" w:rsidRPr="000852BA" w:rsidRDefault="000852BA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852BA" w:rsidRPr="000852BA" w:rsidRDefault="000852BA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D53743" w:rsidRPr="00D53743" w:rsidRDefault="00D53743" w:rsidP="00D53743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872AA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lastRenderedPageBreak/>
        <w:t>Сетевая организация</w:t>
      </w:r>
      <w:r w:rsidR="002533D4" w:rsidRPr="00D53743">
        <w:rPr>
          <w:rFonts w:ascii="Times New Roman" w:hAnsi="Times New Roman" w:cs="Times New Roman"/>
          <w:sz w:val="28"/>
          <w:szCs w:val="28"/>
        </w:rPr>
        <w:t xml:space="preserve"> ОАО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743">
        <w:rPr>
          <w:rFonts w:ascii="Times New Roman" w:hAnsi="Times New Roman" w:cs="Times New Roman"/>
          <w:sz w:val="28"/>
          <w:szCs w:val="28"/>
        </w:rPr>
        <w:t xml:space="preserve">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</w:t>
      </w:r>
      <w:proofErr w:type="gramEnd"/>
      <w:r w:rsidRPr="00D53743">
        <w:rPr>
          <w:rFonts w:ascii="Times New Roman" w:hAnsi="Times New Roman" w:cs="Times New Roman"/>
          <w:sz w:val="28"/>
          <w:szCs w:val="28"/>
        </w:rPr>
        <w:t xml:space="preserve"> следующие параметры электроэнергии:</w:t>
      </w:r>
    </w:p>
    <w:p w:rsidR="00872AAB" w:rsidRPr="00D53743" w:rsidRDefault="00872AAB" w:rsidP="00872A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872AAB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872AAB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1D7037"/>
    <w:rsid w:val="002533D4"/>
    <w:rsid w:val="003F6C6C"/>
    <w:rsid w:val="00547CCB"/>
    <w:rsid w:val="005D17FA"/>
    <w:rsid w:val="007664AF"/>
    <w:rsid w:val="00872AAB"/>
    <w:rsid w:val="00903B4D"/>
    <w:rsid w:val="00B62C2E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0600-205B-4BF4-80A4-D5B60B0E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2267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2</cp:revision>
  <dcterms:created xsi:type="dcterms:W3CDTF">2015-02-03T07:44:00Z</dcterms:created>
  <dcterms:modified xsi:type="dcterms:W3CDTF">2015-02-03T07:44:00Z</dcterms:modified>
</cp:coreProperties>
</file>