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2D" w:rsidRPr="006B0B7E" w:rsidRDefault="00363F2D" w:rsidP="006B0B7E">
      <w:pPr>
        <w:pStyle w:val="ConsPlusTitle"/>
        <w:jc w:val="right"/>
        <w:rPr>
          <w:b w:val="0"/>
        </w:rPr>
      </w:pPr>
    </w:p>
    <w:p w:rsidR="00E15368" w:rsidRDefault="00E15368">
      <w:pPr>
        <w:pStyle w:val="ConsPlusTitle"/>
        <w:jc w:val="center"/>
      </w:pPr>
      <w:r>
        <w:t>ТИПОВОЙ ДОГОВОР</w:t>
      </w:r>
    </w:p>
    <w:p w:rsidR="00E15368" w:rsidRDefault="00E15368">
      <w:pPr>
        <w:pStyle w:val="ConsPlusTitle"/>
        <w:jc w:val="center"/>
      </w:pPr>
      <w:r>
        <w:t>по транспортировке сточных вод</w:t>
      </w:r>
    </w:p>
    <w:p w:rsidR="00E15368" w:rsidRDefault="00E15368">
      <w:pPr>
        <w:pStyle w:val="ConsPlusNormal"/>
        <w:jc w:val="center"/>
      </w:pPr>
    </w:p>
    <w:p w:rsidR="00E15368" w:rsidRDefault="00E15368">
      <w:pPr>
        <w:pStyle w:val="ConsPlusNonformat"/>
        <w:jc w:val="both"/>
      </w:pPr>
      <w:r>
        <w:t>____________________________________                 "__" 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w:t>
      </w:r>
      <w:proofErr w:type="gramStart"/>
      <w:r>
        <w:t>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w:t>
      </w:r>
      <w:proofErr w:type="gramEnd"/>
      <w:r>
        <w:t xml:space="preserve"> </w:t>
      </w:r>
      <w:proofErr w:type="gramStart"/>
      <w:r>
        <w:t>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w:t>
      </w:r>
      <w:proofErr w:type="gramEnd"/>
      <w:r>
        <w:t xml:space="preserve">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jc w:val="both"/>
      </w:pPr>
    </w:p>
    <w:p w:rsidR="00E15368" w:rsidRDefault="00E15368">
      <w:pPr>
        <w:pStyle w:val="ConsPlusNormal"/>
        <w:jc w:val="center"/>
        <w:outlineLvl w:val="1"/>
      </w:pPr>
      <w:r>
        <w:t>II. Сроки транспортировки и режим приема (отведения)</w:t>
      </w:r>
    </w:p>
    <w:p w:rsidR="00E15368" w:rsidRDefault="00E15368">
      <w:pPr>
        <w:pStyle w:val="ConsPlusNormal"/>
        <w:jc w:val="center"/>
      </w:pPr>
      <w:r>
        <w:lastRenderedPageBreak/>
        <w:t>сточных вод</w:t>
      </w:r>
    </w:p>
    <w:p w:rsidR="00E15368" w:rsidRDefault="00E15368">
      <w:pPr>
        <w:pStyle w:val="ConsPlusNormal"/>
        <w:ind w:firstLine="540"/>
        <w:jc w:val="both"/>
      </w:pPr>
    </w:p>
    <w:p w:rsidR="00E15368" w:rsidRDefault="00E15368">
      <w:pPr>
        <w:pStyle w:val="ConsPlusNormal"/>
        <w:ind w:firstLine="540"/>
        <w:jc w:val="both"/>
      </w:pPr>
      <w:r>
        <w:t>4. Дата начала транспортировки сточных вод - "__" ____________ 20__ г.</w:t>
      </w:r>
    </w:p>
    <w:p w:rsidR="00E15368" w:rsidRDefault="00E15368">
      <w:pPr>
        <w:pStyle w:val="ConsPlusNormal"/>
        <w:spacing w:before="220"/>
        <w:ind w:firstLine="540"/>
        <w:jc w:val="both"/>
      </w:pPr>
      <w:r>
        <w:t xml:space="preserve">5. </w:t>
      </w:r>
      <w:proofErr w:type="gramStart"/>
      <w:r>
        <w:t xml:space="preserve">Сведения о режиме приема сточных вод (максимальный расход сточных вод (часовой, секундный) приводятся по форме согласно </w:t>
      </w:r>
      <w:r w:rsidR="00363F2D">
        <w:t>приложению N 2</w:t>
      </w:r>
      <w:r>
        <w:t>.</w:t>
      </w:r>
      <w:proofErr w:type="gramEnd"/>
    </w:p>
    <w:p w:rsidR="00E15368" w:rsidRDefault="00E15368">
      <w:pPr>
        <w:pStyle w:val="ConsPlusNormal"/>
        <w:ind w:firstLine="540"/>
        <w:jc w:val="both"/>
      </w:pPr>
    </w:p>
    <w:p w:rsidR="00E15368" w:rsidRDefault="00E15368">
      <w:pPr>
        <w:pStyle w:val="ConsPlusNormal"/>
        <w:jc w:val="center"/>
        <w:outlineLvl w:val="1"/>
      </w:pPr>
      <w:r>
        <w:t>III. Тарифы, сроки и порядок оплаты по договору</w:t>
      </w:r>
    </w:p>
    <w:p w:rsidR="00E15368" w:rsidRDefault="00E15368">
      <w:pPr>
        <w:pStyle w:val="ConsPlusNormal"/>
        <w:jc w:val="center"/>
      </w:pPr>
    </w:p>
    <w:p w:rsidR="00E15368" w:rsidRDefault="00E15368">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495973" w:rsidRDefault="00495973" w:rsidP="00495973">
      <w:pPr>
        <w:pStyle w:val="ConsPlusNormal"/>
        <w:ind w:firstLine="540"/>
        <w:jc w:val="both"/>
      </w:pPr>
      <w:r>
        <w:t xml:space="preserve">Тариф на транспортировку стоков, установленный на дату заключения настоящего договора постановлением РЭК №___ </w:t>
      </w:r>
      <w:proofErr w:type="spellStart"/>
      <w:r>
        <w:t>от_____</w:t>
      </w:r>
      <w:proofErr w:type="spellEnd"/>
      <w:r>
        <w:t xml:space="preserve">, составляет - </w:t>
      </w:r>
      <w:proofErr w:type="spellStart"/>
      <w:r>
        <w:t>_____руб</w:t>
      </w:r>
      <w:proofErr w:type="spellEnd"/>
      <w:r>
        <w:t>/</w:t>
      </w:r>
      <w:proofErr w:type="spellStart"/>
      <w:r>
        <w:t>кубм</w:t>
      </w:r>
      <w:proofErr w:type="spellEnd"/>
      <w:proofErr w:type="gramStart"/>
      <w:r>
        <w:t>.(</w:t>
      </w:r>
      <w:proofErr w:type="gramEnd"/>
      <w:r>
        <w:t>без НДС).</w:t>
      </w:r>
    </w:p>
    <w:p w:rsidR="00495973" w:rsidRDefault="00495973" w:rsidP="00495973">
      <w:pPr>
        <w:pStyle w:val="ConsPlusNormal"/>
        <w:ind w:firstLine="540"/>
        <w:jc w:val="both"/>
      </w:pPr>
      <w:r>
        <w:t xml:space="preserve">Стоимость услуг по транспортировке стоков в соответствии с настоящим договором на срок действия настоящего договора </w:t>
      </w:r>
      <w:proofErr w:type="spellStart"/>
      <w:r>
        <w:t>составляет________руб</w:t>
      </w:r>
      <w:proofErr w:type="spellEnd"/>
      <w:r>
        <w:t xml:space="preserve">., в том числе НДС </w:t>
      </w:r>
      <w:proofErr w:type="spellStart"/>
      <w:r>
        <w:t>________руб</w:t>
      </w:r>
      <w:proofErr w:type="spellEnd"/>
      <w:r>
        <w:t>.</w:t>
      </w:r>
    </w:p>
    <w:p w:rsidR="00495973" w:rsidRDefault="00495973" w:rsidP="00495973">
      <w:pPr>
        <w:pStyle w:val="ConsPlusNormal"/>
        <w:ind w:firstLine="540"/>
        <w:jc w:val="both"/>
      </w:pPr>
      <w:r>
        <w:t>Изменение стоимости услуг по договору согласовывается путем оформления дополнительного соглашения к договору.</w:t>
      </w:r>
    </w:p>
    <w:p w:rsidR="00E15368" w:rsidRDefault="00E15368">
      <w:pPr>
        <w:pStyle w:val="ConsPlusNormal"/>
        <w:spacing w:before="220"/>
        <w:ind w:firstLine="540"/>
        <w:jc w:val="both"/>
      </w:pPr>
      <w:r>
        <w:t>7. Расчетный период, установленный настоящим договором, равен одному календарному месяцу.</w:t>
      </w:r>
    </w:p>
    <w:p w:rsidR="00E15368" w:rsidRDefault="00E15368">
      <w:pPr>
        <w:pStyle w:val="ConsPlusNormal"/>
        <w:spacing w:before="220"/>
        <w:ind w:firstLine="540"/>
        <w:jc w:val="both"/>
      </w:pPr>
      <w:r>
        <w:t xml:space="preserve">8. </w:t>
      </w:r>
      <w:proofErr w:type="gramStart"/>
      <w:r>
        <w:t>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roofErr w:type="gramEnd"/>
    </w:p>
    <w:p w:rsidR="00E15368" w:rsidRDefault="00E15368">
      <w:pPr>
        <w:pStyle w:val="ConsPlusNormal"/>
        <w:spacing w:before="220"/>
        <w:ind w:firstLine="540"/>
        <w:jc w:val="both"/>
      </w:pPr>
      <w:r>
        <w:t xml:space="preserve">9. </w:t>
      </w:r>
      <w:proofErr w:type="gramStart"/>
      <w:r>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E15368" w:rsidRDefault="00E15368">
      <w:pPr>
        <w:pStyle w:val="ConsPlusNormal"/>
        <w:spacing w:before="220"/>
        <w:ind w:firstLine="540"/>
        <w:jc w:val="both"/>
      </w:pPr>
      <w:r>
        <w:t xml:space="preserve">10. В </w:t>
      </w:r>
      <w:proofErr w:type="gramStart"/>
      <w:r>
        <w:t>случае</w:t>
      </w:r>
      <w:proofErr w:type="gramEnd"/>
      <w:r>
        <w:t xml:space="preserve">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E15368" w:rsidRDefault="00E15368">
      <w:pPr>
        <w:pStyle w:val="ConsPlusNormal"/>
        <w:spacing w:before="220"/>
        <w:ind w:firstLine="540"/>
        <w:jc w:val="both"/>
      </w:pPr>
      <w:r>
        <w:t xml:space="preserve">11. </w:t>
      </w:r>
      <w:proofErr w:type="gramStart"/>
      <w: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roofErr w:type="gramEnd"/>
    </w:p>
    <w:p w:rsidR="00E15368" w:rsidRDefault="00E15368">
      <w:pPr>
        <w:pStyle w:val="ConsPlusNormal"/>
        <w:spacing w:before="220"/>
        <w:ind w:firstLine="540"/>
        <w:jc w:val="both"/>
      </w:pPr>
      <w:r>
        <w:t xml:space="preserve">12. </w:t>
      </w:r>
      <w:proofErr w:type="gramStart"/>
      <w:r>
        <w:t xml:space="preserve">Оплата по настоящему договору осуществляется организацией водопроводно-канализационного хозяйства в срок до 15-го числа месяца, следующего </w:t>
      </w:r>
      <w:r w:rsidR="00FB7E5F">
        <w:t xml:space="preserve">за расчетным, на основании </w:t>
      </w:r>
      <w:proofErr w:type="spellStart"/>
      <w:r w:rsidR="00FB7E5F">
        <w:t>счет-фактуры</w:t>
      </w:r>
      <w:proofErr w:type="spellEnd"/>
      <w:r w:rsidR="00FB7E5F">
        <w:t>, оформленной в соответствии с требованиями ст.169 НК РФ на оплату фактически оказанных услуг,</w:t>
      </w:r>
      <w:r>
        <w:t xml:space="preserve">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roofErr w:type="gramEnd"/>
    </w:p>
    <w:p w:rsidR="00E15368" w:rsidRDefault="00E15368">
      <w:pPr>
        <w:pStyle w:val="ConsPlusNormal"/>
        <w:ind w:firstLine="540"/>
        <w:jc w:val="both"/>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13. Организация водопроводно-канализационного хозяйства обязана:</w:t>
      </w:r>
    </w:p>
    <w:p w:rsidR="00E15368" w:rsidRDefault="00E15368">
      <w:pPr>
        <w:pStyle w:val="ConsPlusNormal"/>
        <w:spacing w:before="220"/>
        <w:ind w:firstLine="540"/>
        <w:jc w:val="both"/>
      </w:pPr>
      <w:r>
        <w:lastRenderedPageBreak/>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E15368" w:rsidRDefault="00E15368">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E15368" w:rsidRDefault="00E15368">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E15368" w:rsidRDefault="00E15368">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E15368" w:rsidRDefault="00E15368">
      <w:pPr>
        <w:pStyle w:val="ConsPlusNormal"/>
        <w:spacing w:before="220"/>
        <w:ind w:firstLine="540"/>
        <w:jc w:val="both"/>
      </w:pPr>
      <w:r>
        <w:t>14. Организация водопроводно-канализационного хозяйства имеет право:</w:t>
      </w:r>
    </w:p>
    <w:p w:rsidR="00E15368" w:rsidRDefault="00E15368">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E15368" w:rsidRDefault="00E15368" w:rsidP="00FC33C1">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301"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15. Транзитная организация обязана:</w:t>
      </w:r>
    </w:p>
    <w:p w:rsidR="00E15368" w:rsidRDefault="00E15368">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E15368" w:rsidRDefault="00E15368">
      <w:pPr>
        <w:pStyle w:val="ConsPlusNormal"/>
        <w:spacing w:before="220"/>
        <w:ind w:firstLine="540"/>
        <w:jc w:val="both"/>
      </w:pPr>
      <w:r>
        <w:t>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w:t>
      </w:r>
      <w:r w:rsidR="00363F2D" w:rsidRPr="00363F2D">
        <w:t xml:space="preserve"> </w:t>
      </w:r>
      <w:r w:rsidR="00363F2D">
        <w:t>приложению N 3</w:t>
      </w:r>
      <w:r>
        <w:t>;</w:t>
      </w:r>
    </w:p>
    <w:p w:rsidR="00FC33C1" w:rsidRDefault="00E15368" w:rsidP="00FC33C1">
      <w:pPr>
        <w:pStyle w:val="ConsPlusNormal"/>
        <w:spacing w:before="220"/>
        <w:ind w:firstLine="540"/>
        <w:jc w:val="both"/>
      </w:pPr>
      <w:r>
        <w:t xml:space="preserve">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w:t>
      </w:r>
    </w:p>
    <w:p w:rsidR="00E15368" w:rsidRDefault="00E15368">
      <w:pPr>
        <w:pStyle w:val="ConsPlusNormal"/>
        <w:spacing w:before="220"/>
        <w:ind w:firstLine="540"/>
        <w:jc w:val="both"/>
      </w:pPr>
      <w:proofErr w:type="spellStart"/>
      <w:r>
        <w:t>д</w:t>
      </w:r>
      <w:proofErr w:type="spellEnd"/>
      <w:r>
        <w:t xml:space="preserve">) обеспечивать учет сточных вод в соответствии с порядком, установленным в </w:t>
      </w:r>
      <w:hyperlink w:anchor="P2279" w:history="1">
        <w:r>
          <w:rPr>
            <w:color w:val="0000FF"/>
          </w:rPr>
          <w:t>разделе V</w:t>
        </w:r>
      </w:hyperlink>
      <w:r>
        <w:t xml:space="preserve"> настоящего договора, и требованиями законодательства Российской Федерации;</w:t>
      </w:r>
    </w:p>
    <w:p w:rsidR="00E15368" w:rsidRDefault="00E15368">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E15368" w:rsidRDefault="00E15368">
      <w:pPr>
        <w:pStyle w:val="ConsPlusNormal"/>
        <w:spacing w:before="220"/>
        <w:ind w:firstLine="540"/>
        <w:jc w:val="both"/>
      </w:pPr>
      <w:proofErr w:type="gramStart"/>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w:t>
      </w:r>
      <w:r>
        <w:lastRenderedPageBreak/>
        <w:t xml:space="preserve">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301" w:history="1">
        <w:r>
          <w:rPr>
            <w:color w:val="0000FF"/>
          </w:rPr>
          <w:t>разделом VI</w:t>
        </w:r>
      </w:hyperlink>
      <w:r>
        <w:t xml:space="preserve"> настоящего договора;</w:t>
      </w:r>
      <w:proofErr w:type="gramEnd"/>
    </w:p>
    <w:p w:rsidR="00E15368" w:rsidRDefault="00E15368">
      <w:pPr>
        <w:pStyle w:val="ConsPlusNormal"/>
        <w:spacing w:before="220"/>
        <w:ind w:firstLine="540"/>
        <w:jc w:val="both"/>
      </w:pPr>
      <w:proofErr w:type="spellStart"/>
      <w:r>
        <w:t>з</w:t>
      </w:r>
      <w:proofErr w:type="spellEnd"/>
      <w:r>
        <w:t xml:space="preserve">) уведомлять в порядке, предусмотренном </w:t>
      </w:r>
      <w:hyperlink w:anchor="P2346"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E15368" w:rsidRDefault="00E15368">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E15368" w:rsidRDefault="00E15368">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E15368" w:rsidRDefault="00E15368">
      <w:pPr>
        <w:pStyle w:val="ConsPlusNormal"/>
        <w:spacing w:before="220"/>
        <w:ind w:firstLine="540"/>
        <w:jc w:val="both"/>
      </w:pPr>
      <w:r>
        <w:t>16. Транзитная организация имеет право:</w:t>
      </w:r>
    </w:p>
    <w:p w:rsidR="00E15368" w:rsidRDefault="00E15368">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w:t>
      </w:r>
      <w:proofErr w:type="gramStart"/>
      <w:r>
        <w:t>ств ст</w:t>
      </w:r>
      <w:proofErr w:type="gramEnd"/>
      <w:r>
        <w:t>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E15368" w:rsidRDefault="00E15368">
      <w:pPr>
        <w:pStyle w:val="ConsPlusNormal"/>
        <w:spacing w:before="220"/>
        <w:ind w:firstLine="540"/>
        <w:jc w:val="both"/>
      </w:pPr>
      <w:r>
        <w:t>б) осуществлять в целях контроля состава и свой</w:t>
      </w:r>
      <w:proofErr w:type="gramStart"/>
      <w:r>
        <w:t>ств ст</w:t>
      </w:r>
      <w:proofErr w:type="gramEnd"/>
      <w: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15368" w:rsidRDefault="00E15368">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E15368" w:rsidRDefault="00E15368">
      <w:pPr>
        <w:pStyle w:val="ConsPlusNormal"/>
        <w:ind w:firstLine="540"/>
        <w:jc w:val="both"/>
      </w:pPr>
    </w:p>
    <w:p w:rsidR="00E15368" w:rsidRDefault="00E15368">
      <w:pPr>
        <w:pStyle w:val="ConsPlusNormal"/>
        <w:jc w:val="center"/>
        <w:outlineLvl w:val="1"/>
      </w:pPr>
      <w:bookmarkStart w:id="0" w:name="P2279"/>
      <w:bookmarkEnd w:id="0"/>
      <w:r>
        <w:t>V. Порядок учета отводимых сточных вод</w:t>
      </w:r>
    </w:p>
    <w:p w:rsidR="00E15368" w:rsidRDefault="00E15368">
      <w:pPr>
        <w:pStyle w:val="ConsPlusNormal"/>
        <w:jc w:val="center"/>
      </w:pPr>
    </w:p>
    <w:p w:rsidR="00E15368" w:rsidRDefault="00E15368">
      <w:pPr>
        <w:pStyle w:val="ConsPlusNormal"/>
        <w:ind w:firstLine="540"/>
        <w:jc w:val="both"/>
      </w:pPr>
      <w:r>
        <w:t xml:space="preserve">17. Учет объема отводимых сточных вод осуществляется в соответствии с </w:t>
      </w:r>
      <w:hyperlink r:id="rId5"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E15368" w:rsidRDefault="00E15368">
      <w:pPr>
        <w:pStyle w:val="ConsPlusNonformat"/>
        <w:spacing w:before="200"/>
        <w:jc w:val="both"/>
      </w:pPr>
      <w:r>
        <w:t xml:space="preserve">    18. Коммерческий  учет   сточных   вод   в   узлах  учета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6"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w:t>
      </w:r>
      <w:r>
        <w:lastRenderedPageBreak/>
        <w:t>границах эксплуатационной ответственности транзитной организации.</w:t>
      </w:r>
    </w:p>
    <w:p w:rsidR="00E15368" w:rsidRDefault="00E15368">
      <w:pPr>
        <w:pStyle w:val="ConsPlusNonformat"/>
        <w:spacing w:before="200"/>
        <w:jc w:val="both"/>
      </w:pPr>
      <w:r>
        <w:t xml:space="preserve">    21.  Сторона, осуществляющая коммерческий учет </w:t>
      </w:r>
      <w:proofErr w:type="gramStart"/>
      <w:r>
        <w:t>транспортируемых</w:t>
      </w:r>
      <w:proofErr w:type="gramEnd"/>
      <w:r>
        <w:t xml:space="preserve"> сточных</w:t>
      </w:r>
    </w:p>
    <w:p w:rsidR="00E15368" w:rsidRDefault="00E15368">
      <w:pPr>
        <w:pStyle w:val="ConsPlusNonformat"/>
        <w:jc w:val="both"/>
      </w:pPr>
      <w:r>
        <w:t>вод,  снима</w:t>
      </w:r>
      <w:r w:rsidR="00FC33C1">
        <w:t>ет  показания  приборов  учета до 25-го числа</w:t>
      </w:r>
      <w:r>
        <w:t xml:space="preserve"> </w:t>
      </w:r>
      <w:r w:rsidR="00FC33C1">
        <w:t>до 25-го числа</w:t>
      </w:r>
      <w:r>
        <w:t xml:space="preserve"> расчетного</w:t>
      </w:r>
      <w:r w:rsidR="00FC33C1">
        <w:t xml:space="preserve"> </w:t>
      </w:r>
      <w:r>
        <w:t>периода,  установленного  настоящим договором, либо осуществляет в случаях,</w:t>
      </w:r>
    </w:p>
    <w:p w:rsidR="00E15368" w:rsidRDefault="00E15368">
      <w:pPr>
        <w:pStyle w:val="ConsPlusNonformat"/>
        <w:jc w:val="both"/>
      </w:pPr>
      <w:proofErr w:type="gramStart"/>
      <w:r>
        <w:t>предусмотренных</w:t>
      </w:r>
      <w:proofErr w:type="gramEnd"/>
      <w:r>
        <w:t xml:space="preserve">  </w:t>
      </w:r>
      <w:hyperlink r:id="rId7"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отведенных  сточных  вод  расчетным  способом, вносит</w:t>
      </w:r>
    </w:p>
    <w:p w:rsidR="00E15368" w:rsidRDefault="00E15368">
      <w:pPr>
        <w:pStyle w:val="ConsPlusNonformat"/>
        <w:jc w:val="both"/>
      </w:pPr>
      <w:r>
        <w:t xml:space="preserve">показания  приборов  учета  в  журнал  учета,  передает  данные  сведения </w:t>
      </w:r>
      <w:proofErr w:type="gramStart"/>
      <w:r>
        <w:t>в</w:t>
      </w:r>
      <w:proofErr w:type="gramEnd"/>
    </w:p>
    <w:p w:rsidR="00E15368" w:rsidRDefault="00E15368">
      <w:pPr>
        <w:pStyle w:val="ConsPlusNonformat"/>
        <w:jc w:val="both"/>
      </w:pPr>
      <w:proofErr w:type="gramStart"/>
      <w:r>
        <w:t>организацию     водопроводно-канализационного     хозяйства     (транзитной</w:t>
      </w:r>
      <w:proofErr w:type="gramEnd"/>
    </w:p>
    <w:p w:rsidR="00E15368" w:rsidRDefault="00E15368">
      <w:pPr>
        <w:pStyle w:val="ConsPlusNonformat"/>
        <w:jc w:val="both"/>
      </w:pPr>
      <w:r>
        <w:t>организации) не позднее 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таких сведений адресатом.</w:t>
      </w:r>
    </w:p>
    <w:p w:rsidR="00E15368" w:rsidRDefault="00E15368">
      <w:pPr>
        <w:pStyle w:val="ConsPlusNormal"/>
        <w:spacing w:before="220"/>
        <w:ind w:firstLine="540"/>
        <w:jc w:val="both"/>
      </w:pPr>
      <w:r>
        <w:t xml:space="preserve">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w:t>
      </w:r>
      <w:proofErr w:type="gramStart"/>
      <w:r>
        <w:t>проверки правильности коммерческого учета объемов отведенных сточных вод</w:t>
      </w:r>
      <w:proofErr w:type="gramEnd"/>
      <w:r>
        <w:t>.</w:t>
      </w:r>
    </w:p>
    <w:p w:rsidR="00E15368" w:rsidRDefault="00E15368">
      <w:pPr>
        <w:pStyle w:val="ConsPlusNormal"/>
        <w:spacing w:before="220"/>
        <w:ind w:firstLine="540"/>
        <w:jc w:val="both"/>
      </w:pPr>
      <w:r>
        <w:t xml:space="preserve">24. </w:t>
      </w:r>
      <w:proofErr w:type="gramStart"/>
      <w:r>
        <w:t>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roofErr w:type="gramEnd"/>
    </w:p>
    <w:p w:rsidR="00E15368" w:rsidRDefault="00E15368">
      <w:pPr>
        <w:pStyle w:val="ConsPlusNormal"/>
        <w:spacing w:before="220"/>
        <w:ind w:firstLine="540"/>
        <w:jc w:val="both"/>
      </w:pPr>
      <w:r>
        <w:t xml:space="preserve">25. В </w:t>
      </w:r>
      <w:proofErr w:type="gramStart"/>
      <w:r>
        <w:t>случае</w:t>
      </w:r>
      <w:proofErr w:type="gramEnd"/>
      <w:r>
        <w:t xml:space="preserve">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w:t>
      </w:r>
      <w:r w:rsidR="00FC33C1">
        <w:t>ревышающий 30</w:t>
      </w:r>
      <w:r>
        <w:t xml:space="preserve"> дней, если иной срок не согласован сторонами настоящего договора.</w:t>
      </w:r>
    </w:p>
    <w:p w:rsidR="00E15368" w:rsidRDefault="00E15368">
      <w:pPr>
        <w:pStyle w:val="ConsPlusNormal"/>
        <w:jc w:val="center"/>
      </w:pPr>
    </w:p>
    <w:p w:rsidR="00E15368" w:rsidRDefault="00E15368">
      <w:pPr>
        <w:pStyle w:val="ConsPlusNormal"/>
        <w:jc w:val="center"/>
        <w:outlineLvl w:val="1"/>
      </w:pPr>
      <w:bookmarkStart w:id="1" w:name="P2301"/>
      <w:bookmarkEnd w:id="1"/>
      <w:r>
        <w:t>VI. Порядок обеспечения транзитной организацией доступа</w:t>
      </w:r>
    </w:p>
    <w:p w:rsidR="00E15368" w:rsidRDefault="00E15368">
      <w:pPr>
        <w:pStyle w:val="ConsPlusNormal"/>
        <w:jc w:val="center"/>
      </w:pPr>
      <w:r>
        <w:t>организации водопроводно-канализационного хозяйства</w:t>
      </w:r>
    </w:p>
    <w:p w:rsidR="00E15368" w:rsidRDefault="00E15368">
      <w:pPr>
        <w:pStyle w:val="ConsPlusNormal"/>
        <w:jc w:val="center"/>
      </w:pPr>
      <w:r>
        <w:t>к канализационным сетям, контрольным канализационным</w:t>
      </w:r>
    </w:p>
    <w:p w:rsidR="00E15368" w:rsidRDefault="00E15368">
      <w:pPr>
        <w:pStyle w:val="ConsPlusNormal"/>
        <w:jc w:val="center"/>
      </w:pPr>
      <w:r>
        <w:t>колодцам и приборам учета в целях определения объема</w:t>
      </w:r>
    </w:p>
    <w:p w:rsidR="00E15368" w:rsidRDefault="00E15368">
      <w:pPr>
        <w:pStyle w:val="ConsPlusNormal"/>
        <w:jc w:val="center"/>
      </w:pPr>
      <w:r>
        <w:t>принятых (отведенных) сточных вод, определения</w:t>
      </w:r>
    </w:p>
    <w:p w:rsidR="00E15368" w:rsidRDefault="00E15368">
      <w:pPr>
        <w:pStyle w:val="ConsPlusNormal"/>
        <w:jc w:val="center"/>
      </w:pPr>
      <w:r>
        <w:t>их состава и свойств</w:t>
      </w:r>
    </w:p>
    <w:p w:rsidR="00E15368" w:rsidRDefault="00E15368">
      <w:pPr>
        <w:pStyle w:val="ConsPlusNormal"/>
        <w:ind w:firstLine="540"/>
        <w:jc w:val="both"/>
      </w:pPr>
    </w:p>
    <w:p w:rsidR="00E15368" w:rsidRDefault="00E15368">
      <w:pPr>
        <w:pStyle w:val="ConsPlusNormal"/>
        <w:ind w:firstLine="540"/>
        <w:jc w:val="both"/>
      </w:pPr>
      <w:r>
        <w:t xml:space="preserve">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w:t>
      </w:r>
      <w:proofErr w:type="gramStart"/>
      <w:r>
        <w:t>для</w:t>
      </w:r>
      <w:proofErr w:type="gramEnd"/>
      <w:r>
        <w:t>:</w:t>
      </w:r>
    </w:p>
    <w:p w:rsidR="00E15368" w:rsidRDefault="00E15368">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15368" w:rsidRDefault="00E15368">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E15368" w:rsidRDefault="00E15368">
      <w:pPr>
        <w:pStyle w:val="ConsPlusNormal"/>
        <w:spacing w:before="220"/>
        <w:ind w:firstLine="540"/>
        <w:jc w:val="both"/>
      </w:pPr>
      <w:r>
        <w:t>в) определения объема отведенных сточных вод;</w:t>
      </w:r>
    </w:p>
    <w:p w:rsidR="00E15368" w:rsidRDefault="00E15368">
      <w:pPr>
        <w:pStyle w:val="ConsPlusNormal"/>
        <w:spacing w:before="220"/>
        <w:ind w:firstLine="540"/>
        <w:jc w:val="both"/>
      </w:pPr>
      <w:r>
        <w:lastRenderedPageBreak/>
        <w:t>г) опломбирования приборов учета сточных вод;</w:t>
      </w:r>
    </w:p>
    <w:p w:rsidR="00E15368" w:rsidRDefault="00E15368">
      <w:pPr>
        <w:pStyle w:val="ConsPlusNormal"/>
        <w:spacing w:before="220"/>
        <w:ind w:firstLine="540"/>
        <w:jc w:val="both"/>
      </w:pPr>
      <w:proofErr w:type="spellStart"/>
      <w:r>
        <w:t>д</w:t>
      </w:r>
      <w:proofErr w:type="spellEnd"/>
      <w:r>
        <w:t>) отбора проб с целью проведения контроля качества сточных вод;</w:t>
      </w:r>
    </w:p>
    <w:p w:rsidR="00E15368" w:rsidRDefault="00E15368">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E15368" w:rsidRDefault="00E15368">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E15368" w:rsidRDefault="00E15368">
      <w:pPr>
        <w:pStyle w:val="ConsPlusNormal"/>
        <w:spacing w:before="220"/>
        <w:ind w:firstLine="540"/>
        <w:jc w:val="both"/>
      </w:pPr>
      <w:r>
        <w:t xml:space="preserve">27. </w:t>
      </w:r>
      <w:proofErr w:type="gramStart"/>
      <w:r>
        <w:t xml:space="preserve">Организация водопроводно-канализационного хозяйства или по ее указанию иная организация предварительно, не позднее </w:t>
      </w:r>
      <w:r w:rsidR="00FC33C1">
        <w:t>одного рабочего дня д</w:t>
      </w:r>
      <w:r>
        <w:t>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w:t>
      </w:r>
      <w:proofErr w:type="gramEnd"/>
      <w:r>
        <w:t xml:space="preserve">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оповещения адресатом.</w:t>
      </w:r>
    </w:p>
    <w:p w:rsidR="00E15368" w:rsidRDefault="00E15368">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E15368" w:rsidRDefault="00E15368">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E15368" w:rsidRDefault="00E15368">
      <w:pPr>
        <w:pStyle w:val="ConsPlusNormal"/>
        <w:spacing w:before="220"/>
        <w:ind w:firstLine="540"/>
        <w:jc w:val="both"/>
      </w:pPr>
      <w:r>
        <w:t xml:space="preserve">31. В </w:t>
      </w:r>
      <w:proofErr w:type="gramStart"/>
      <w:r>
        <w:t>случае</w:t>
      </w:r>
      <w:proofErr w:type="gramEnd"/>
      <w:r>
        <w:t xml:space="preserve">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E15368" w:rsidRDefault="00E15368">
      <w:pPr>
        <w:pStyle w:val="ConsPlusNormal"/>
        <w:spacing w:before="220"/>
        <w:ind w:firstLine="540"/>
        <w:jc w:val="both"/>
      </w:pPr>
      <w:r>
        <w:t xml:space="preserve">32. В </w:t>
      </w:r>
      <w:proofErr w:type="gramStart"/>
      <w:r>
        <w:t>случае</w:t>
      </w:r>
      <w:proofErr w:type="gramEnd"/>
      <w:r>
        <w:t xml:space="preserve"> отказа в доступе (</w:t>
      </w:r>
      <w:proofErr w:type="spellStart"/>
      <w:r>
        <w:t>недопуске</w:t>
      </w:r>
      <w:proofErr w:type="spellEnd"/>
      <w:r>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E15368" w:rsidRDefault="00E15368">
      <w:pPr>
        <w:pStyle w:val="ConsPlusNormal"/>
        <w:ind w:firstLine="540"/>
        <w:jc w:val="both"/>
      </w:pPr>
    </w:p>
    <w:p w:rsidR="00E15368" w:rsidRDefault="00E15368">
      <w:pPr>
        <w:pStyle w:val="ConsPlusNormal"/>
        <w:jc w:val="center"/>
        <w:outlineLvl w:val="1"/>
      </w:pPr>
      <w:r>
        <w:t xml:space="preserve">VII. Контроль за составом и свойствами </w:t>
      </w:r>
      <w:proofErr w:type="gramStart"/>
      <w:r>
        <w:t>отводимых</w:t>
      </w:r>
      <w:proofErr w:type="gramEnd"/>
    </w:p>
    <w:p w:rsidR="00E15368" w:rsidRDefault="00E15368">
      <w:pPr>
        <w:pStyle w:val="ConsPlusNormal"/>
        <w:jc w:val="center"/>
      </w:pPr>
      <w:r>
        <w:t>сточных вод</w:t>
      </w:r>
    </w:p>
    <w:p w:rsidR="00E15368" w:rsidRDefault="00E15368">
      <w:pPr>
        <w:pStyle w:val="ConsPlusNormal"/>
        <w:jc w:val="center"/>
      </w:pPr>
    </w:p>
    <w:p w:rsidR="00E15368" w:rsidRDefault="00E15368">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8" w:history="1">
        <w:r>
          <w:rPr>
            <w:color w:val="0000FF"/>
          </w:rPr>
          <w:t>Правилами</w:t>
        </w:r>
      </w:hyperlink>
      <w:r>
        <w:t xml:space="preserve"> осуществления контроля состава и свой</w:t>
      </w:r>
      <w:proofErr w:type="gramStart"/>
      <w:r>
        <w:t>ств ст</w:t>
      </w:r>
      <w:proofErr w:type="gramEnd"/>
      <w:r>
        <w:t>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E15368" w:rsidRDefault="00E15368">
      <w:pPr>
        <w:pStyle w:val="ConsPlusNormal"/>
        <w:spacing w:before="220"/>
        <w:ind w:firstLine="540"/>
        <w:jc w:val="both"/>
      </w:pPr>
      <w:r>
        <w:t xml:space="preserve">34. Сведения о приборах учета (узлах учета) по форме согласно </w:t>
      </w:r>
      <w:r w:rsidR="00363F2D">
        <w:t>приложению N 4</w:t>
      </w:r>
      <w:r>
        <w:t>.</w:t>
      </w:r>
    </w:p>
    <w:p w:rsidR="00E15368" w:rsidRDefault="00E15368">
      <w:pPr>
        <w:pStyle w:val="ConsPlusNormal"/>
        <w:ind w:firstLine="540"/>
        <w:jc w:val="both"/>
      </w:pPr>
    </w:p>
    <w:p w:rsidR="00E15368" w:rsidRDefault="00E15368" w:rsidP="00FC33C1">
      <w:pPr>
        <w:pStyle w:val="ConsPlusNormal"/>
        <w:outlineLvl w:val="1"/>
      </w:pPr>
    </w:p>
    <w:p w:rsidR="00E15368" w:rsidRDefault="00E15368">
      <w:pPr>
        <w:pStyle w:val="ConsPlusNormal"/>
        <w:jc w:val="center"/>
      </w:pPr>
    </w:p>
    <w:p w:rsidR="00935B63" w:rsidRDefault="00935B63">
      <w:pPr>
        <w:pStyle w:val="ConsPlusNormal"/>
        <w:jc w:val="center"/>
        <w:outlineLvl w:val="1"/>
      </w:pPr>
      <w:bookmarkStart w:id="2" w:name="P2346"/>
      <w:bookmarkEnd w:id="2"/>
    </w:p>
    <w:p w:rsidR="00E15368" w:rsidRDefault="00E15368">
      <w:pPr>
        <w:pStyle w:val="ConsPlusNormal"/>
        <w:jc w:val="center"/>
        <w:outlineLvl w:val="1"/>
      </w:pPr>
      <w:r>
        <w:lastRenderedPageBreak/>
        <w:t>IX. Условия временного прекращения или ограничения</w:t>
      </w:r>
    </w:p>
    <w:p w:rsidR="00E15368" w:rsidRDefault="00E15368">
      <w:pPr>
        <w:pStyle w:val="ConsPlusNormal"/>
        <w:jc w:val="center"/>
      </w:pPr>
      <w:r>
        <w:t>транспортировки и приема сточных вод</w:t>
      </w:r>
    </w:p>
    <w:p w:rsidR="00E15368" w:rsidRDefault="00E15368">
      <w:pPr>
        <w:pStyle w:val="ConsPlusNormal"/>
        <w:ind w:firstLine="540"/>
        <w:jc w:val="both"/>
      </w:pPr>
    </w:p>
    <w:p w:rsidR="00E15368" w:rsidRDefault="00935B63">
      <w:pPr>
        <w:pStyle w:val="ConsPlusNormal"/>
        <w:ind w:firstLine="540"/>
        <w:jc w:val="both"/>
      </w:pPr>
      <w:r>
        <w:t>35</w:t>
      </w:r>
      <w:r w:rsidR="00E15368">
        <w:t xml:space="preserve">. </w:t>
      </w:r>
      <w:proofErr w:type="gramStart"/>
      <w:r w:rsidR="00E15368">
        <w:t xml:space="preserve">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0"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w:t>
      </w:r>
      <w:proofErr w:type="gramEnd"/>
      <w:r w:rsidR="00E15368">
        <w:t xml:space="preserve"> водоотведения и о внесении изменений в некоторые акты Правительства Российской Федерации".</w:t>
      </w:r>
    </w:p>
    <w:p w:rsidR="00E15368" w:rsidRDefault="00935B63">
      <w:pPr>
        <w:pStyle w:val="ConsPlusNormal"/>
        <w:spacing w:before="220"/>
        <w:ind w:firstLine="540"/>
        <w:jc w:val="both"/>
      </w:pPr>
      <w:r>
        <w:t>36</w:t>
      </w:r>
      <w:r w:rsidR="00E15368">
        <w:t>.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E15368" w:rsidRDefault="00E15368">
      <w:pPr>
        <w:pStyle w:val="ConsPlusNormal"/>
        <w:spacing w:before="220"/>
        <w:ind w:firstLine="540"/>
        <w:jc w:val="both"/>
      </w:pPr>
      <w:r>
        <w:t>а) другую сторону;</w:t>
      </w:r>
    </w:p>
    <w:p w:rsidR="00E15368" w:rsidRDefault="00E15368">
      <w:pPr>
        <w:pStyle w:val="ConsPlusNonformat"/>
        <w:spacing w:before="200"/>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935B63">
      <w:pPr>
        <w:pStyle w:val="ConsPlusNormal"/>
        <w:ind w:firstLine="540"/>
        <w:jc w:val="both"/>
      </w:pPr>
      <w:r>
        <w:t>37</w:t>
      </w:r>
      <w:r w:rsidR="00E15368">
        <w:t xml:space="preserve">.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outlineLvl w:val="1"/>
      </w:pPr>
      <w:r>
        <w:t>X. Ответственность сторон</w:t>
      </w:r>
    </w:p>
    <w:p w:rsidR="00E15368" w:rsidRDefault="00E15368">
      <w:pPr>
        <w:pStyle w:val="ConsPlusNormal"/>
        <w:jc w:val="center"/>
      </w:pPr>
    </w:p>
    <w:p w:rsidR="00E15368" w:rsidRDefault="00935B63">
      <w:pPr>
        <w:pStyle w:val="ConsPlusNormal"/>
        <w:ind w:firstLine="540"/>
        <w:jc w:val="both"/>
      </w:pPr>
      <w:r>
        <w:t>38</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935B63">
      <w:pPr>
        <w:pStyle w:val="ConsPlusNormal"/>
        <w:spacing w:before="220"/>
        <w:ind w:firstLine="540"/>
        <w:jc w:val="both"/>
      </w:pPr>
      <w:r>
        <w:t>39</w:t>
      </w:r>
      <w:r w:rsidR="00E15368">
        <w:t>.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E15368" w:rsidRDefault="00935B63">
      <w:pPr>
        <w:pStyle w:val="ConsPlusNormal"/>
        <w:spacing w:before="220"/>
        <w:ind w:firstLine="540"/>
        <w:jc w:val="both"/>
      </w:pPr>
      <w:r>
        <w:t>40</w:t>
      </w:r>
      <w:r w:rsidR="00E15368">
        <w:t xml:space="preserve">. </w:t>
      </w:r>
      <w:proofErr w:type="gramStart"/>
      <w:r w:rsidR="00E15368">
        <w:t xml:space="preserve">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w:t>
      </w:r>
      <w:proofErr w:type="spellStart"/>
      <w:r w:rsidR="00E15368">
        <w:t>стотридцатой</w:t>
      </w:r>
      <w:proofErr w:type="spellEnd"/>
      <w:r w:rsidR="00E15368">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w:t>
      </w:r>
      <w:proofErr w:type="gramEnd"/>
      <w:r w:rsidR="00E15368">
        <w:t xml:space="preserve"> по день фактической оплаты.</w:t>
      </w:r>
    </w:p>
    <w:p w:rsidR="00E15368" w:rsidRDefault="00935B63">
      <w:pPr>
        <w:pStyle w:val="ConsPlusNormal"/>
        <w:spacing w:before="220"/>
        <w:ind w:firstLine="540"/>
        <w:jc w:val="both"/>
      </w:pPr>
      <w:r>
        <w:t>41</w:t>
      </w:r>
      <w:r w:rsidR="00E15368">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935B63">
      <w:pPr>
        <w:pStyle w:val="ConsPlusNormal"/>
        <w:spacing w:before="220"/>
        <w:ind w:firstLine="540"/>
        <w:jc w:val="both"/>
      </w:pPr>
      <w:r>
        <w:lastRenderedPageBreak/>
        <w:t>42</w:t>
      </w:r>
      <w:r w:rsidR="00E15368">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jc w:val="center"/>
      </w:pPr>
    </w:p>
    <w:p w:rsidR="00E15368" w:rsidRDefault="00E15368">
      <w:pPr>
        <w:pStyle w:val="ConsPlusNormal"/>
        <w:jc w:val="center"/>
        <w:outlineLvl w:val="1"/>
      </w:pPr>
      <w:r>
        <w:t>XI. Порядок урегулирования споров и разногласий</w:t>
      </w:r>
    </w:p>
    <w:p w:rsidR="00E15368" w:rsidRDefault="00E15368">
      <w:pPr>
        <w:pStyle w:val="ConsPlusNormal"/>
        <w:jc w:val="center"/>
      </w:pPr>
    </w:p>
    <w:p w:rsidR="00E15368" w:rsidRDefault="00935B63">
      <w:pPr>
        <w:pStyle w:val="ConsPlusNormal"/>
        <w:ind w:firstLine="540"/>
        <w:jc w:val="both"/>
      </w:pPr>
      <w:r>
        <w:t>43</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935B63">
      <w:pPr>
        <w:pStyle w:val="ConsPlusNormal"/>
        <w:spacing w:before="220"/>
        <w:ind w:firstLine="540"/>
        <w:jc w:val="both"/>
      </w:pPr>
      <w:r>
        <w:t>44</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proofErr w:type="gramStart"/>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E15368" w:rsidRDefault="00E15368">
      <w:pPr>
        <w:pStyle w:val="ConsPlusNormal"/>
        <w:spacing w:before="220"/>
        <w:ind w:firstLine="540"/>
        <w:jc w:val="both"/>
      </w:pPr>
      <w:r>
        <w:t>г) другие сведения по усмотрению стороны.</w:t>
      </w:r>
    </w:p>
    <w:p w:rsidR="00E15368" w:rsidRDefault="00935B63">
      <w:pPr>
        <w:pStyle w:val="ConsPlusNormal"/>
        <w:spacing w:before="220"/>
        <w:ind w:firstLine="540"/>
        <w:jc w:val="both"/>
      </w:pPr>
      <w:r>
        <w:t>45</w:t>
      </w:r>
      <w:r w:rsidR="00E15368">
        <w:t>. Сторона, получившая претензию, в течение 5 рабочих дней со дня ее поступления обязана ее рассмотреть и дать ответ.</w:t>
      </w:r>
    </w:p>
    <w:p w:rsidR="00E15368" w:rsidRDefault="00935B63">
      <w:pPr>
        <w:pStyle w:val="ConsPlusNormal"/>
        <w:spacing w:before="220"/>
        <w:ind w:firstLine="540"/>
        <w:jc w:val="both"/>
      </w:pPr>
      <w:r>
        <w:t>46</w:t>
      </w:r>
      <w:r w:rsidR="00E15368">
        <w:t>. Стороны составляют акт об урегулировании спора (разногласий).</w:t>
      </w:r>
    </w:p>
    <w:p w:rsidR="00E15368" w:rsidRDefault="00935B63">
      <w:pPr>
        <w:pStyle w:val="ConsPlusNormal"/>
        <w:spacing w:before="220"/>
        <w:ind w:firstLine="540"/>
        <w:jc w:val="both"/>
      </w:pPr>
      <w:r>
        <w:t>47</w:t>
      </w:r>
      <w:r w:rsidR="00E15368">
        <w:t xml:space="preserve">. В </w:t>
      </w:r>
      <w:proofErr w:type="gramStart"/>
      <w:r w:rsidR="00E15368">
        <w:t>случае</w:t>
      </w:r>
      <w:proofErr w:type="gramEnd"/>
      <w:r w:rsidR="00E15368">
        <w:t xml:space="preserve"> </w:t>
      </w:r>
      <w:proofErr w:type="spellStart"/>
      <w:r w:rsidR="00E15368">
        <w:t>недостижения</w:t>
      </w:r>
      <w:proofErr w:type="spellEnd"/>
      <w:r w:rsidR="00E15368">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15368" w:rsidRDefault="00E15368">
      <w:pPr>
        <w:pStyle w:val="ConsPlusNormal"/>
        <w:ind w:firstLine="540"/>
        <w:jc w:val="both"/>
      </w:pPr>
    </w:p>
    <w:p w:rsidR="00E15368" w:rsidRDefault="00E15368">
      <w:pPr>
        <w:pStyle w:val="ConsPlusNormal"/>
        <w:jc w:val="center"/>
        <w:outlineLvl w:val="1"/>
      </w:pPr>
      <w:r>
        <w:t>XII. Действие договора</w:t>
      </w:r>
    </w:p>
    <w:p w:rsidR="00E15368" w:rsidRDefault="00E15368">
      <w:pPr>
        <w:pStyle w:val="ConsPlusNormal"/>
        <w:jc w:val="center"/>
      </w:pPr>
    </w:p>
    <w:p w:rsidR="00E15368" w:rsidRDefault="00935B63">
      <w:pPr>
        <w:pStyle w:val="ConsPlusNonformat"/>
        <w:jc w:val="both"/>
      </w:pPr>
      <w:r>
        <w:t xml:space="preserve">    48</w:t>
      </w:r>
      <w:r w:rsidR="00E15368">
        <w:t xml:space="preserve">. Настоящий договор вступает в силу </w:t>
      </w:r>
      <w:proofErr w:type="gramStart"/>
      <w:r w:rsidR="00E15368">
        <w:t>с</w:t>
      </w:r>
      <w:proofErr w:type="gramEnd"/>
      <w:r w:rsidR="00E15368">
        <w:t xml:space="preserve"> ______________________________.</w:t>
      </w:r>
    </w:p>
    <w:p w:rsidR="00E15368" w:rsidRDefault="00E15368">
      <w:pPr>
        <w:pStyle w:val="ConsPlusNonformat"/>
        <w:jc w:val="both"/>
      </w:pPr>
      <w:r>
        <w:t xml:space="preserve">                                                    (указать дату)</w:t>
      </w:r>
    </w:p>
    <w:p w:rsidR="00E15368" w:rsidRDefault="00935B63">
      <w:pPr>
        <w:pStyle w:val="ConsPlusNonformat"/>
        <w:jc w:val="both"/>
      </w:pPr>
      <w:r>
        <w:t xml:space="preserve">    49</w:t>
      </w:r>
      <w:r w:rsidR="00E15368">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935B63">
      <w:pPr>
        <w:pStyle w:val="ConsPlusNormal"/>
        <w:ind w:firstLine="540"/>
        <w:jc w:val="both"/>
      </w:pPr>
      <w:r>
        <w:t>50</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935B63">
      <w:pPr>
        <w:pStyle w:val="ConsPlusNormal"/>
        <w:spacing w:before="220"/>
        <w:ind w:firstLine="540"/>
        <w:jc w:val="both"/>
      </w:pPr>
      <w:r>
        <w:t>51</w:t>
      </w:r>
      <w:r w:rsidR="00E15368">
        <w:t xml:space="preserve">. Настоящий </w:t>
      </w:r>
      <w:proofErr w:type="gramStart"/>
      <w:r w:rsidR="00E15368">
        <w:t>договор</w:t>
      </w:r>
      <w:proofErr w:type="gramEnd"/>
      <w:r w:rsidR="00E15368">
        <w:t xml:space="preserve"> может быть расторгнут до окончания срока его действия по обоюдному согласию сторон.</w:t>
      </w:r>
    </w:p>
    <w:p w:rsidR="00E15368" w:rsidRDefault="00E15368">
      <w:pPr>
        <w:pStyle w:val="ConsPlusNormal"/>
        <w:ind w:firstLine="540"/>
        <w:jc w:val="both"/>
      </w:pPr>
    </w:p>
    <w:p w:rsidR="00E15368" w:rsidRDefault="00E15368">
      <w:pPr>
        <w:pStyle w:val="ConsPlusNormal"/>
        <w:jc w:val="center"/>
        <w:outlineLvl w:val="1"/>
      </w:pPr>
      <w:r>
        <w:t>XIII. Прочие условия</w:t>
      </w:r>
    </w:p>
    <w:p w:rsidR="00E15368" w:rsidRDefault="00E15368">
      <w:pPr>
        <w:pStyle w:val="ConsPlusNormal"/>
        <w:jc w:val="center"/>
      </w:pPr>
    </w:p>
    <w:p w:rsidR="00E15368" w:rsidRDefault="00935B63">
      <w:pPr>
        <w:pStyle w:val="ConsPlusNormal"/>
        <w:ind w:firstLine="540"/>
        <w:jc w:val="both"/>
      </w:pPr>
      <w:r>
        <w:t>52</w:t>
      </w:r>
      <w:r w:rsidR="00E15368">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935B63">
      <w:pPr>
        <w:pStyle w:val="ConsPlusNormal"/>
        <w:spacing w:before="220"/>
        <w:ind w:firstLine="540"/>
        <w:jc w:val="both"/>
      </w:pPr>
      <w:r>
        <w:t>53</w:t>
      </w:r>
      <w:r w:rsidR="00E15368">
        <w:t xml:space="preserve">. </w:t>
      </w:r>
      <w:proofErr w:type="gramStart"/>
      <w:r w:rsidR="00E15368">
        <w:t xml:space="preserve">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w:t>
      </w:r>
      <w:r w:rsidR="00E15368">
        <w:lastRenderedPageBreak/>
        <w:t xml:space="preserve">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E15368" w:rsidRDefault="00935B63">
      <w:pPr>
        <w:pStyle w:val="ConsPlusNormal"/>
        <w:spacing w:before="220"/>
        <w:ind w:firstLine="540"/>
        <w:jc w:val="both"/>
      </w:pPr>
      <w:r>
        <w:t>54</w:t>
      </w:r>
      <w:r w:rsidR="00E15368">
        <w:t xml:space="preserve">. </w:t>
      </w:r>
      <w:proofErr w:type="gramStart"/>
      <w:r w:rsidR="00E15368">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 w:history="1">
        <w:r w:rsidR="00E15368">
          <w:rPr>
            <w:color w:val="0000FF"/>
          </w:rPr>
          <w:t>закона</w:t>
        </w:r>
      </w:hyperlink>
      <w:r w:rsidR="00E15368">
        <w:t xml:space="preserve"> "О водоснабжении и водоотведении", </w:t>
      </w:r>
      <w:hyperlink r:id="rId12"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p>
    <w:p w:rsidR="00E15368" w:rsidRDefault="00935B63">
      <w:pPr>
        <w:pStyle w:val="ConsPlusNormal"/>
        <w:spacing w:before="220"/>
        <w:ind w:firstLine="540"/>
        <w:jc w:val="both"/>
      </w:pPr>
      <w:r>
        <w:t>55</w:t>
      </w:r>
      <w:r w:rsidR="00E15368">
        <w:t>. Настоящий договор составлен в двух экземплярах, имеющих равную юридическую силу.</w:t>
      </w:r>
    </w:p>
    <w:p w:rsidR="00E15368" w:rsidRDefault="00935B63">
      <w:pPr>
        <w:pStyle w:val="ConsPlusNormal"/>
        <w:spacing w:before="220"/>
        <w:ind w:firstLine="540"/>
        <w:jc w:val="both"/>
      </w:pPr>
      <w:r>
        <w:t>56</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rsidP="00FB7E5F">
      <w:pPr>
        <w:pStyle w:val="ConsPlusNormal"/>
        <w:jc w:val="both"/>
      </w:pPr>
    </w:p>
    <w:p w:rsidR="008C2537" w:rsidRDefault="008C2537">
      <w:pPr>
        <w:pStyle w:val="ConsPlusNormal"/>
        <w:ind w:firstLine="540"/>
        <w:jc w:val="both"/>
      </w:pPr>
    </w:p>
    <w:p w:rsidR="00E15368" w:rsidRDefault="00E15368">
      <w:pPr>
        <w:pStyle w:val="ConsPlusNormal"/>
        <w:ind w:firstLine="540"/>
        <w:jc w:val="both"/>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E15368" w:rsidRDefault="00E15368">
      <w:pPr>
        <w:pStyle w:val="ConsPlusNormal"/>
        <w:jc w:val="right"/>
        <w:outlineLvl w:val="1"/>
      </w:pPr>
      <w:r>
        <w:lastRenderedPageBreak/>
        <w:t>Приложение N 1</w:t>
      </w:r>
    </w:p>
    <w:p w:rsidR="00E15368" w:rsidRDefault="00E15368">
      <w:pPr>
        <w:pStyle w:val="ConsPlusNormal"/>
        <w:jc w:val="right"/>
      </w:pPr>
      <w:r>
        <w:t>к типовому договору</w:t>
      </w:r>
    </w:p>
    <w:p w:rsidR="00E15368" w:rsidRDefault="00E15368" w:rsidP="00BA1CAB">
      <w:pPr>
        <w:pStyle w:val="ConsPlusNormal"/>
        <w:jc w:val="right"/>
      </w:pPr>
      <w:r>
        <w:t>по транспортировке сточных вод</w:t>
      </w:r>
    </w:p>
    <w:p w:rsidR="00BA1CAB" w:rsidRDefault="00BA1CAB" w:rsidP="00BA1CAB">
      <w:pPr>
        <w:pStyle w:val="ConsPlusNormal"/>
        <w:jc w:val="right"/>
      </w:pPr>
    </w:p>
    <w:p w:rsidR="00E15368" w:rsidRDefault="00E15368" w:rsidP="00BA1CAB">
      <w:pPr>
        <w:pStyle w:val="ConsPlusNormal"/>
        <w:jc w:val="right"/>
      </w:pPr>
      <w:r>
        <w:t>(форма)</w:t>
      </w: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транзитной организации является 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водоотведения организации водопроводно-канализационного хозяйства и</w:t>
      </w:r>
    </w:p>
    <w:p w:rsidR="00E15368" w:rsidRDefault="00E15368">
      <w:pPr>
        <w:pStyle w:val="ConsPlusNonformat"/>
        <w:jc w:val="both"/>
      </w:pPr>
      <w:r>
        <w:t>транзитной организации является 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935B63" w:rsidRDefault="00E15368">
      <w:pPr>
        <w:pStyle w:val="ConsPlusNonformat"/>
        <w:jc w:val="both"/>
      </w:pPr>
      <w:r>
        <w:t xml:space="preserve">     </w:t>
      </w:r>
    </w:p>
    <w:p w:rsidR="00E15368" w:rsidRDefault="00935B63">
      <w:pPr>
        <w:pStyle w:val="ConsPlusNonformat"/>
        <w:jc w:val="both"/>
      </w:pPr>
      <w:r>
        <w:t xml:space="preserve">    </w:t>
      </w:r>
      <w:r w:rsidR="00E15368">
        <w:t xml:space="preserve">Организация </w:t>
      </w:r>
      <w:proofErr w:type="spellStart"/>
      <w:r w:rsidR="00E15368">
        <w:t>водопроводн</w:t>
      </w:r>
      <w:proofErr w:type="gramStart"/>
      <w:r w:rsidR="00E15368">
        <w:t>о</w:t>
      </w:r>
      <w:proofErr w:type="spellEnd"/>
      <w:r w:rsidR="00E15368">
        <w:t>-</w:t>
      </w:r>
      <w:proofErr w:type="gramEnd"/>
      <w:r w:rsidR="00E15368">
        <w:t xml:space="preserve">                Транзитная организация</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rsidP="00935B63">
      <w:pPr>
        <w:pStyle w:val="ConsPlusNormal"/>
        <w:jc w:val="both"/>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E15368" w:rsidRDefault="00363F2D">
      <w:pPr>
        <w:pStyle w:val="ConsPlusNormal"/>
        <w:jc w:val="right"/>
        <w:outlineLvl w:val="1"/>
      </w:pPr>
      <w:r>
        <w:lastRenderedPageBreak/>
        <w:t>Приложение N 2</w:t>
      </w:r>
    </w:p>
    <w:p w:rsidR="00E15368" w:rsidRDefault="00E15368">
      <w:pPr>
        <w:pStyle w:val="ConsPlusNormal"/>
        <w:jc w:val="right"/>
      </w:pPr>
      <w:r>
        <w:t>к типовому договору</w:t>
      </w:r>
    </w:p>
    <w:p w:rsidR="00E15368" w:rsidRDefault="00E15368" w:rsidP="00BA1CAB">
      <w:pPr>
        <w:pStyle w:val="ConsPlusNormal"/>
        <w:jc w:val="right"/>
      </w:pPr>
      <w:r>
        <w:t>по транспортировке сточных вод</w:t>
      </w:r>
    </w:p>
    <w:p w:rsidR="00BA1CAB" w:rsidRDefault="00BA1CAB">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bookmarkStart w:id="3" w:name="P2475"/>
      <w:bookmarkEnd w:id="3"/>
      <w:r>
        <w:t xml:space="preserve">                                 СВЕДЕНИЯ</w:t>
      </w:r>
    </w:p>
    <w:p w:rsidR="00E15368" w:rsidRDefault="00E15368">
      <w:pPr>
        <w:pStyle w:val="ConsPlusNonformat"/>
        <w:jc w:val="both"/>
      </w:pPr>
      <w:r>
        <w:t xml:space="preserve">         </w:t>
      </w:r>
      <w:proofErr w:type="gramStart"/>
      <w:r>
        <w:t>о режиме приема сточных вод (максимальный расход сточных</w:t>
      </w:r>
      <w:proofErr w:type="gramEnd"/>
    </w:p>
    <w:p w:rsidR="00E15368" w:rsidRDefault="00E15368">
      <w:pPr>
        <w:pStyle w:val="ConsPlusNonformat"/>
        <w:jc w:val="both"/>
      </w:pPr>
      <w:r>
        <w:t xml:space="preserve">                         вод (часовой, секундный)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2665"/>
        <w:gridCol w:w="3175"/>
      </w:tblGrid>
      <w:tr w:rsidR="00E15368">
        <w:tc>
          <w:tcPr>
            <w:tcW w:w="567"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65" w:type="dxa"/>
          </w:tcPr>
          <w:p w:rsidR="00E15368" w:rsidRDefault="00E15368">
            <w:pPr>
              <w:pStyle w:val="ConsPlusNormal"/>
              <w:jc w:val="center"/>
            </w:pPr>
            <w:r>
              <w:t>Наименование объекта</w:t>
            </w:r>
          </w:p>
        </w:tc>
        <w:tc>
          <w:tcPr>
            <w:tcW w:w="2665" w:type="dxa"/>
          </w:tcPr>
          <w:p w:rsidR="00E15368" w:rsidRDefault="00E15368">
            <w:pPr>
              <w:pStyle w:val="ConsPlusNormal"/>
              <w:jc w:val="center"/>
            </w:pPr>
            <w:r>
              <w:t>Максимальный расход сточных вод (часовой)</w:t>
            </w:r>
          </w:p>
        </w:tc>
        <w:tc>
          <w:tcPr>
            <w:tcW w:w="3175" w:type="dxa"/>
          </w:tcPr>
          <w:p w:rsidR="00E15368" w:rsidRDefault="00E15368">
            <w:pPr>
              <w:pStyle w:val="ConsPlusNormal"/>
              <w:jc w:val="center"/>
            </w:pPr>
            <w:r>
              <w:t>Максимальный расход сточных вод (секундный)</w:t>
            </w:r>
          </w:p>
        </w:tc>
      </w:tr>
      <w:tr w:rsidR="00E15368">
        <w:tc>
          <w:tcPr>
            <w:tcW w:w="567" w:type="dxa"/>
          </w:tcPr>
          <w:p w:rsidR="00E15368" w:rsidRDefault="00E15368">
            <w:pPr>
              <w:pStyle w:val="ConsPlusNormal"/>
              <w:jc w:val="center"/>
            </w:pPr>
            <w:r>
              <w:t>1</w:t>
            </w:r>
          </w:p>
        </w:tc>
        <w:tc>
          <w:tcPr>
            <w:tcW w:w="2665" w:type="dxa"/>
          </w:tcPr>
          <w:p w:rsidR="00E15368" w:rsidRDefault="00E15368">
            <w:pPr>
              <w:pStyle w:val="ConsPlusNormal"/>
              <w:jc w:val="center"/>
            </w:pPr>
            <w:r>
              <w:t>2</w:t>
            </w:r>
          </w:p>
        </w:tc>
        <w:tc>
          <w:tcPr>
            <w:tcW w:w="2665" w:type="dxa"/>
          </w:tcPr>
          <w:p w:rsidR="00E15368" w:rsidRDefault="00E15368">
            <w:pPr>
              <w:pStyle w:val="ConsPlusNormal"/>
              <w:jc w:val="center"/>
            </w:pPr>
            <w:r>
              <w:t>3</w:t>
            </w:r>
          </w:p>
        </w:tc>
        <w:tc>
          <w:tcPr>
            <w:tcW w:w="3175" w:type="dxa"/>
          </w:tcPr>
          <w:p w:rsidR="00E15368" w:rsidRDefault="00E15368">
            <w:pPr>
              <w:pStyle w:val="ConsPlusNormal"/>
              <w:jc w:val="center"/>
            </w:pPr>
            <w:r>
              <w:t>4</w:t>
            </w:r>
          </w:p>
        </w:tc>
      </w:tr>
      <w:tr w:rsidR="00E15368">
        <w:tc>
          <w:tcPr>
            <w:tcW w:w="567" w:type="dxa"/>
          </w:tcPr>
          <w:p w:rsidR="00E15368" w:rsidRDefault="00E15368">
            <w:pPr>
              <w:pStyle w:val="ConsPlusNormal"/>
              <w:jc w:val="center"/>
            </w:pPr>
          </w:p>
        </w:tc>
        <w:tc>
          <w:tcPr>
            <w:tcW w:w="2665" w:type="dxa"/>
          </w:tcPr>
          <w:p w:rsidR="00E15368" w:rsidRDefault="00E15368">
            <w:pPr>
              <w:pStyle w:val="ConsPlusNormal"/>
              <w:jc w:val="center"/>
            </w:pPr>
          </w:p>
        </w:tc>
        <w:tc>
          <w:tcPr>
            <w:tcW w:w="2665" w:type="dxa"/>
          </w:tcPr>
          <w:p w:rsidR="00E15368" w:rsidRDefault="00E15368">
            <w:pPr>
              <w:pStyle w:val="ConsPlusNormal"/>
              <w:jc w:val="center"/>
            </w:pPr>
          </w:p>
        </w:tc>
        <w:tc>
          <w:tcPr>
            <w:tcW w:w="3175"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rsidP="00935B63">
      <w:pPr>
        <w:pStyle w:val="ConsPlusNormal"/>
        <w:jc w:val="both"/>
      </w:pPr>
    </w:p>
    <w:p w:rsidR="00E15368" w:rsidRDefault="00363F2D">
      <w:pPr>
        <w:pStyle w:val="ConsPlusNormal"/>
        <w:jc w:val="right"/>
        <w:outlineLvl w:val="1"/>
      </w:pPr>
      <w:r>
        <w:t>Приложение N 3</w:t>
      </w:r>
    </w:p>
    <w:p w:rsidR="00E15368" w:rsidRDefault="00E15368">
      <w:pPr>
        <w:pStyle w:val="ConsPlusNormal"/>
        <w:jc w:val="right"/>
      </w:pPr>
      <w:r>
        <w:t>к типовому договору</w:t>
      </w:r>
    </w:p>
    <w:p w:rsidR="00E15368" w:rsidRDefault="00E15368" w:rsidP="00935B63">
      <w:pPr>
        <w:pStyle w:val="ConsPlusNormal"/>
        <w:jc w:val="right"/>
      </w:pPr>
      <w:r>
        <w:t>по транспортировке сточных вод</w:t>
      </w:r>
    </w:p>
    <w:p w:rsidR="00BA1CAB" w:rsidRDefault="00BA1CAB">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4" w:name="P2509"/>
      <w:bookmarkEnd w:id="4"/>
      <w:r>
        <w:t xml:space="preserve">                                 СВЕДЕНИЯ</w:t>
      </w:r>
    </w:p>
    <w:p w:rsidR="00E15368" w:rsidRDefault="00E15368">
      <w:pPr>
        <w:pStyle w:val="ConsPlusNonformat"/>
        <w:jc w:val="both"/>
      </w:pPr>
      <w:r>
        <w:t xml:space="preserve">       о составе и сроках проведения регламентных технических работ,</w:t>
      </w:r>
    </w:p>
    <w:p w:rsidR="00E15368" w:rsidRDefault="00E15368" w:rsidP="00935B63">
      <w:pPr>
        <w:pStyle w:val="ConsPlusNonformat"/>
        <w:jc w:val="both"/>
      </w:pPr>
      <w:r>
        <w:t xml:space="preserve">            </w:t>
      </w:r>
      <w:proofErr w:type="gramStart"/>
      <w:r>
        <w:t>обязательных</w:t>
      </w:r>
      <w:proofErr w:type="gramEnd"/>
      <w:r>
        <w:t xml:space="preserve"> для проведения транзитной организацией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4139"/>
      </w:tblGrid>
      <w:tr w:rsidR="00E15368">
        <w:tc>
          <w:tcPr>
            <w:tcW w:w="567"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tcPr>
          <w:p w:rsidR="00E15368" w:rsidRDefault="00E15368">
            <w:pPr>
              <w:pStyle w:val="ConsPlusNormal"/>
              <w:jc w:val="center"/>
            </w:pPr>
            <w:r>
              <w:t>Наименование регламентных технических работ</w:t>
            </w:r>
          </w:p>
        </w:tc>
        <w:tc>
          <w:tcPr>
            <w:tcW w:w="4139" w:type="dxa"/>
          </w:tcPr>
          <w:p w:rsidR="00E15368" w:rsidRDefault="00E15368">
            <w:pPr>
              <w:pStyle w:val="ConsPlusNormal"/>
              <w:jc w:val="center"/>
            </w:pPr>
            <w:r>
              <w:t>Сроки проведения регламентных технических работ</w:t>
            </w:r>
          </w:p>
        </w:tc>
      </w:tr>
      <w:tr w:rsidR="00E15368">
        <w:tc>
          <w:tcPr>
            <w:tcW w:w="567" w:type="dxa"/>
          </w:tcPr>
          <w:p w:rsidR="00E15368" w:rsidRDefault="00E15368">
            <w:pPr>
              <w:pStyle w:val="ConsPlusNormal"/>
              <w:jc w:val="center"/>
            </w:pPr>
            <w:r>
              <w:t>1</w:t>
            </w:r>
          </w:p>
        </w:tc>
        <w:tc>
          <w:tcPr>
            <w:tcW w:w="4365" w:type="dxa"/>
          </w:tcPr>
          <w:p w:rsidR="00E15368" w:rsidRDefault="00E15368">
            <w:pPr>
              <w:pStyle w:val="ConsPlusNormal"/>
              <w:jc w:val="center"/>
            </w:pPr>
            <w:r>
              <w:t>2</w:t>
            </w:r>
          </w:p>
        </w:tc>
        <w:tc>
          <w:tcPr>
            <w:tcW w:w="4139" w:type="dxa"/>
          </w:tcPr>
          <w:p w:rsidR="00E15368" w:rsidRDefault="00E15368">
            <w:pPr>
              <w:pStyle w:val="ConsPlusNormal"/>
              <w:jc w:val="center"/>
            </w:pPr>
            <w:r>
              <w:t>3</w:t>
            </w:r>
          </w:p>
        </w:tc>
      </w:tr>
      <w:tr w:rsidR="00E15368">
        <w:tc>
          <w:tcPr>
            <w:tcW w:w="567" w:type="dxa"/>
          </w:tcPr>
          <w:p w:rsidR="00E15368" w:rsidRDefault="00E15368">
            <w:pPr>
              <w:pStyle w:val="ConsPlusNormal"/>
              <w:jc w:val="center"/>
            </w:pPr>
          </w:p>
        </w:tc>
        <w:tc>
          <w:tcPr>
            <w:tcW w:w="4365" w:type="dxa"/>
          </w:tcPr>
          <w:p w:rsidR="00E15368" w:rsidRDefault="00E15368">
            <w:pPr>
              <w:pStyle w:val="ConsPlusNormal"/>
              <w:jc w:val="center"/>
            </w:pPr>
          </w:p>
        </w:tc>
        <w:tc>
          <w:tcPr>
            <w:tcW w:w="413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8C2537" w:rsidRDefault="008C2537" w:rsidP="00935B63">
      <w:pPr>
        <w:pStyle w:val="ConsPlusNormal"/>
        <w:jc w:val="both"/>
      </w:pPr>
    </w:p>
    <w:p w:rsidR="00E15368" w:rsidRDefault="00E15368">
      <w:pPr>
        <w:pStyle w:val="ConsPlusNormal"/>
        <w:ind w:firstLine="540"/>
        <w:jc w:val="both"/>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E15368" w:rsidRDefault="00363F2D">
      <w:pPr>
        <w:pStyle w:val="ConsPlusNormal"/>
        <w:jc w:val="right"/>
        <w:outlineLvl w:val="1"/>
      </w:pPr>
      <w:r>
        <w:t>Приложение N 4</w:t>
      </w:r>
    </w:p>
    <w:p w:rsidR="00E15368" w:rsidRDefault="00E15368">
      <w:pPr>
        <w:pStyle w:val="ConsPlusNormal"/>
        <w:jc w:val="right"/>
      </w:pPr>
      <w:r>
        <w:t>к типовому договору</w:t>
      </w:r>
    </w:p>
    <w:p w:rsidR="00E15368" w:rsidRDefault="00E15368" w:rsidP="00935B63">
      <w:pPr>
        <w:pStyle w:val="ConsPlusNormal"/>
        <w:jc w:val="right"/>
      </w:pPr>
      <w:r>
        <w:t>по транспортировке сточных вод</w:t>
      </w:r>
    </w:p>
    <w:p w:rsidR="00BA1CAB" w:rsidRDefault="00BA1CAB">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5" w:name="P2543"/>
      <w:bookmarkEnd w:id="5"/>
      <w:r>
        <w:t xml:space="preserve">                                 СВЕДЕНИЯ</w:t>
      </w:r>
    </w:p>
    <w:p w:rsidR="00E15368" w:rsidRDefault="00E15368" w:rsidP="00935B63">
      <w:pPr>
        <w:pStyle w:val="ConsPlusNonformat"/>
        <w:jc w:val="center"/>
      </w:pPr>
      <w:r>
        <w:t>о приборах учета (узлах учета</w:t>
      </w:r>
      <w:r w:rsidR="00FC33C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2494"/>
        <w:gridCol w:w="2381"/>
      </w:tblGrid>
      <w:tr w:rsidR="00E15368">
        <w:tc>
          <w:tcPr>
            <w:tcW w:w="567"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28" w:type="dxa"/>
          </w:tcPr>
          <w:p w:rsidR="00E15368" w:rsidRDefault="00E15368">
            <w:pPr>
              <w:pStyle w:val="ConsPlusNormal"/>
              <w:jc w:val="center"/>
            </w:pPr>
            <w:r>
              <w:t>Показания приборов учета на начало подачи ресурса</w:t>
            </w:r>
          </w:p>
        </w:tc>
        <w:tc>
          <w:tcPr>
            <w:tcW w:w="2494" w:type="dxa"/>
          </w:tcPr>
          <w:p w:rsidR="00E15368" w:rsidRDefault="00E15368">
            <w:pPr>
              <w:pStyle w:val="ConsPlusNormal"/>
              <w:jc w:val="center"/>
            </w:pPr>
            <w:r>
              <w:t>Дата опломбирования</w:t>
            </w:r>
          </w:p>
        </w:tc>
        <w:tc>
          <w:tcPr>
            <w:tcW w:w="2381" w:type="dxa"/>
          </w:tcPr>
          <w:p w:rsidR="00E15368" w:rsidRDefault="00E15368">
            <w:pPr>
              <w:pStyle w:val="ConsPlusNormal"/>
              <w:jc w:val="center"/>
            </w:pPr>
            <w:r>
              <w:t>Дата очередной поверки</w:t>
            </w:r>
          </w:p>
        </w:tc>
      </w:tr>
      <w:tr w:rsidR="00E15368">
        <w:tc>
          <w:tcPr>
            <w:tcW w:w="567" w:type="dxa"/>
          </w:tcPr>
          <w:p w:rsidR="00E15368" w:rsidRDefault="00E15368">
            <w:pPr>
              <w:pStyle w:val="ConsPlusNormal"/>
              <w:jc w:val="center"/>
            </w:pPr>
            <w:r>
              <w:t>1</w:t>
            </w:r>
          </w:p>
        </w:tc>
        <w:tc>
          <w:tcPr>
            <w:tcW w:w="3628" w:type="dxa"/>
          </w:tcPr>
          <w:p w:rsidR="00E15368" w:rsidRDefault="00E15368">
            <w:pPr>
              <w:pStyle w:val="ConsPlusNormal"/>
              <w:jc w:val="center"/>
            </w:pPr>
            <w:r>
              <w:t>2</w:t>
            </w:r>
          </w:p>
        </w:tc>
        <w:tc>
          <w:tcPr>
            <w:tcW w:w="2494" w:type="dxa"/>
          </w:tcPr>
          <w:p w:rsidR="00E15368" w:rsidRDefault="00E15368">
            <w:pPr>
              <w:pStyle w:val="ConsPlusNormal"/>
              <w:jc w:val="center"/>
            </w:pPr>
            <w:r>
              <w:t>3</w:t>
            </w:r>
          </w:p>
        </w:tc>
        <w:tc>
          <w:tcPr>
            <w:tcW w:w="2381" w:type="dxa"/>
          </w:tcPr>
          <w:p w:rsidR="00E15368" w:rsidRDefault="00E15368">
            <w:pPr>
              <w:pStyle w:val="ConsPlusNormal"/>
              <w:jc w:val="center"/>
            </w:pPr>
            <w:r>
              <w:t>4</w:t>
            </w:r>
          </w:p>
        </w:tc>
      </w:tr>
      <w:tr w:rsidR="00E15368">
        <w:tc>
          <w:tcPr>
            <w:tcW w:w="567" w:type="dxa"/>
          </w:tcPr>
          <w:p w:rsidR="00E15368" w:rsidRDefault="00E15368">
            <w:pPr>
              <w:pStyle w:val="ConsPlusNormal"/>
              <w:jc w:val="center"/>
            </w:pPr>
          </w:p>
        </w:tc>
        <w:tc>
          <w:tcPr>
            <w:tcW w:w="3628" w:type="dxa"/>
          </w:tcPr>
          <w:p w:rsidR="00E15368" w:rsidRDefault="00E15368">
            <w:pPr>
              <w:pStyle w:val="ConsPlusNormal"/>
              <w:jc w:val="center"/>
            </w:pPr>
          </w:p>
        </w:tc>
        <w:tc>
          <w:tcPr>
            <w:tcW w:w="2494" w:type="dxa"/>
          </w:tcPr>
          <w:p w:rsidR="00E15368" w:rsidRDefault="00E15368">
            <w:pPr>
              <w:pStyle w:val="ConsPlusNormal"/>
              <w:jc w:val="center"/>
            </w:pPr>
          </w:p>
        </w:tc>
        <w:tc>
          <w:tcPr>
            <w:tcW w:w="238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757"/>
        <w:gridCol w:w="2041"/>
        <w:gridCol w:w="2324"/>
      </w:tblGrid>
      <w:tr w:rsidR="00E15368">
        <w:tc>
          <w:tcPr>
            <w:tcW w:w="567"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81" w:type="dxa"/>
          </w:tcPr>
          <w:p w:rsidR="00E15368" w:rsidRDefault="00E15368">
            <w:pPr>
              <w:pStyle w:val="ConsPlusNormal"/>
              <w:jc w:val="center"/>
            </w:pPr>
            <w:r>
              <w:t>Расположение приборов учета (узлов учета)</w:t>
            </w:r>
          </w:p>
        </w:tc>
        <w:tc>
          <w:tcPr>
            <w:tcW w:w="1757" w:type="dxa"/>
          </w:tcPr>
          <w:p w:rsidR="00E15368" w:rsidRDefault="00E15368">
            <w:pPr>
              <w:pStyle w:val="ConsPlusNormal"/>
              <w:jc w:val="center"/>
            </w:pPr>
            <w:r>
              <w:t xml:space="preserve">Диаметр приборов учета (узлов учета), </w:t>
            </w:r>
            <w:proofErr w:type="gramStart"/>
            <w:r>
              <w:t>мм</w:t>
            </w:r>
            <w:proofErr w:type="gramEnd"/>
          </w:p>
        </w:tc>
        <w:tc>
          <w:tcPr>
            <w:tcW w:w="2041" w:type="dxa"/>
          </w:tcPr>
          <w:p w:rsidR="00E15368" w:rsidRDefault="00E15368">
            <w:pPr>
              <w:pStyle w:val="ConsPlusNormal"/>
              <w:jc w:val="center"/>
            </w:pPr>
            <w:r>
              <w:t xml:space="preserve">Марка и </w:t>
            </w:r>
            <w:proofErr w:type="gramStart"/>
            <w:r>
              <w:t>заводской</w:t>
            </w:r>
            <w:proofErr w:type="gramEnd"/>
          </w:p>
          <w:p w:rsidR="00E15368" w:rsidRDefault="00E15368">
            <w:pPr>
              <w:pStyle w:val="ConsPlusNormal"/>
              <w:jc w:val="center"/>
            </w:pPr>
            <w:r>
              <w:t>номер приборов учета (узлов учета)</w:t>
            </w:r>
          </w:p>
        </w:tc>
        <w:tc>
          <w:tcPr>
            <w:tcW w:w="2324" w:type="dxa"/>
          </w:tcPr>
          <w:p w:rsidR="00E15368" w:rsidRDefault="00E15368">
            <w:pPr>
              <w:pStyle w:val="ConsPlusNormal"/>
              <w:jc w:val="center"/>
            </w:pPr>
            <w:r>
              <w:t>Технический паспорт прилагается (указать количество листов)</w:t>
            </w:r>
          </w:p>
        </w:tc>
      </w:tr>
      <w:tr w:rsidR="00E15368">
        <w:tc>
          <w:tcPr>
            <w:tcW w:w="567" w:type="dxa"/>
          </w:tcPr>
          <w:p w:rsidR="00E15368" w:rsidRDefault="00E15368">
            <w:pPr>
              <w:pStyle w:val="ConsPlusNormal"/>
              <w:jc w:val="center"/>
            </w:pPr>
            <w:r>
              <w:t>1</w:t>
            </w:r>
          </w:p>
        </w:tc>
        <w:tc>
          <w:tcPr>
            <w:tcW w:w="2381" w:type="dxa"/>
          </w:tcPr>
          <w:p w:rsidR="00E15368" w:rsidRDefault="00E15368">
            <w:pPr>
              <w:pStyle w:val="ConsPlusNormal"/>
              <w:jc w:val="center"/>
            </w:pPr>
            <w:r>
              <w:t>2</w:t>
            </w:r>
          </w:p>
        </w:tc>
        <w:tc>
          <w:tcPr>
            <w:tcW w:w="1757" w:type="dxa"/>
          </w:tcPr>
          <w:p w:rsidR="00E15368" w:rsidRDefault="00E15368">
            <w:pPr>
              <w:pStyle w:val="ConsPlusNormal"/>
              <w:jc w:val="center"/>
            </w:pPr>
            <w:r>
              <w:t>3</w:t>
            </w:r>
          </w:p>
        </w:tc>
        <w:tc>
          <w:tcPr>
            <w:tcW w:w="2041" w:type="dxa"/>
          </w:tcPr>
          <w:p w:rsidR="00E15368" w:rsidRDefault="00E15368">
            <w:pPr>
              <w:pStyle w:val="ConsPlusNormal"/>
              <w:jc w:val="center"/>
            </w:pPr>
            <w:r>
              <w:t>4</w:t>
            </w:r>
          </w:p>
        </w:tc>
        <w:tc>
          <w:tcPr>
            <w:tcW w:w="2324"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2041" w:type="dxa"/>
          </w:tcPr>
          <w:p w:rsidR="00E15368" w:rsidRDefault="00E15368">
            <w:pPr>
              <w:pStyle w:val="ConsPlusNormal"/>
              <w:jc w:val="center"/>
            </w:pPr>
          </w:p>
        </w:tc>
        <w:tc>
          <w:tcPr>
            <w:tcW w:w="2324"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rmal"/>
        <w:jc w:val="both"/>
      </w:pPr>
    </w:p>
    <w:p w:rsidR="00E15368" w:rsidRDefault="00E15368" w:rsidP="00FC33C1">
      <w:pPr>
        <w:pStyle w:val="ConsPlusNonformat"/>
        <w:jc w:val="both"/>
      </w:pPr>
      <w:r>
        <w:t xml:space="preserve">    Схема  расположения  приборов  учета  (узлов  учета) </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6B0B7E" w:rsidRDefault="00E15368" w:rsidP="00935B63">
      <w:pPr>
        <w:pStyle w:val="ConsPlusNonformat"/>
        <w:jc w:val="both"/>
        <w:rPr>
          <w:rFonts w:ascii="Calibri" w:hAnsi="Calibri" w:cs="Calibri"/>
          <w:b/>
        </w:rPr>
      </w:pPr>
      <w:r>
        <w:t>"__" ____________________ 20__ г.         "__" ____________________ 20__ г.</w:t>
      </w:r>
    </w:p>
    <w:sectPr w:rsidR="006B0B7E"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15368"/>
    <w:rsid w:val="000328E7"/>
    <w:rsid w:val="00053308"/>
    <w:rsid w:val="00062425"/>
    <w:rsid w:val="00074484"/>
    <w:rsid w:val="000B1715"/>
    <w:rsid w:val="00104329"/>
    <w:rsid w:val="001823D3"/>
    <w:rsid w:val="002027C8"/>
    <w:rsid w:val="0026649B"/>
    <w:rsid w:val="00296E9E"/>
    <w:rsid w:val="00326976"/>
    <w:rsid w:val="00332CB9"/>
    <w:rsid w:val="00363F2D"/>
    <w:rsid w:val="003751A3"/>
    <w:rsid w:val="003A3937"/>
    <w:rsid w:val="003B1632"/>
    <w:rsid w:val="004357FA"/>
    <w:rsid w:val="00455D6C"/>
    <w:rsid w:val="00495973"/>
    <w:rsid w:val="004A62D3"/>
    <w:rsid w:val="004D6753"/>
    <w:rsid w:val="00501A58"/>
    <w:rsid w:val="00534BF8"/>
    <w:rsid w:val="0057512C"/>
    <w:rsid w:val="005C16AD"/>
    <w:rsid w:val="0061413F"/>
    <w:rsid w:val="006302D0"/>
    <w:rsid w:val="0069388A"/>
    <w:rsid w:val="006A1865"/>
    <w:rsid w:val="006B0B7E"/>
    <w:rsid w:val="006C2F1E"/>
    <w:rsid w:val="006D132E"/>
    <w:rsid w:val="00766F97"/>
    <w:rsid w:val="00767DE2"/>
    <w:rsid w:val="007B5135"/>
    <w:rsid w:val="007D21C6"/>
    <w:rsid w:val="007E6EB8"/>
    <w:rsid w:val="00804CB7"/>
    <w:rsid w:val="0081109F"/>
    <w:rsid w:val="008759CF"/>
    <w:rsid w:val="008C2537"/>
    <w:rsid w:val="008E089C"/>
    <w:rsid w:val="008F2140"/>
    <w:rsid w:val="00904C81"/>
    <w:rsid w:val="00935B63"/>
    <w:rsid w:val="009553DB"/>
    <w:rsid w:val="00991846"/>
    <w:rsid w:val="009D0D6E"/>
    <w:rsid w:val="009D0EE3"/>
    <w:rsid w:val="009D657F"/>
    <w:rsid w:val="00A074FF"/>
    <w:rsid w:val="00A21B76"/>
    <w:rsid w:val="00B11E14"/>
    <w:rsid w:val="00B30C06"/>
    <w:rsid w:val="00B3646B"/>
    <w:rsid w:val="00BA06F1"/>
    <w:rsid w:val="00BA1CAB"/>
    <w:rsid w:val="00BC417F"/>
    <w:rsid w:val="00BF15EF"/>
    <w:rsid w:val="00C012F6"/>
    <w:rsid w:val="00C577E2"/>
    <w:rsid w:val="00C673B5"/>
    <w:rsid w:val="00D115F8"/>
    <w:rsid w:val="00D12B72"/>
    <w:rsid w:val="00D1376C"/>
    <w:rsid w:val="00D3602F"/>
    <w:rsid w:val="00DF4A65"/>
    <w:rsid w:val="00E15368"/>
    <w:rsid w:val="00E62CA2"/>
    <w:rsid w:val="00E8219A"/>
    <w:rsid w:val="00ED7A13"/>
    <w:rsid w:val="00F62875"/>
    <w:rsid w:val="00F85B2C"/>
    <w:rsid w:val="00FA1640"/>
    <w:rsid w:val="00FA6BC2"/>
    <w:rsid w:val="00FB4B41"/>
    <w:rsid w:val="00FB7E5F"/>
    <w:rsid w:val="00FC3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2C07ADE573D004EF5829B3FB0BED8401E99CE5FC951366F7B69807F56834D14CF588D320452A79FPAR0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0C77ADD5A38004EF5829B3FB0BED8401E99CE5FC951366E7069807F56834D14CF588D320452A79FPAR0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0C77ADD543A004EF5829B3FB0BED8400C999653C857286E727CD62E13PDREF" TargetMode="External"/><Relationship Id="rId5" Type="http://schemas.openxmlformats.org/officeDocument/2006/relationships/hyperlink" Target="consultantplus://offline/ref=FC27E738AAAEAB4E94F56D39A066552FB1C670DE5B34004EF5829B3FB0BED8401E99CE5FC951366E7069807F56834D14CF588D320452A79FPAR0F" TargetMode="External"/><Relationship Id="rId10" Type="http://schemas.openxmlformats.org/officeDocument/2006/relationships/hyperlink" Target="consultantplus://offline/ref=FC27E738AAAEAB4E94F56D39A066552FB0C77ADD5A38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0C77ADD543A004EF5829B3FB0BED8400C999653C857286E727CD62E13PDR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268C8-B45E-46A2-B360-A47ED405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4805</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2</cp:revision>
  <dcterms:created xsi:type="dcterms:W3CDTF">2020-12-21T03:00:00Z</dcterms:created>
  <dcterms:modified xsi:type="dcterms:W3CDTF">2020-12-21T03:00:00Z</dcterms:modified>
</cp:coreProperties>
</file>