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DF4" w:rsidRPr="001D764B" w:rsidRDefault="00A61DF4" w:rsidP="00A61DF4">
      <w:pPr>
        <w:pStyle w:val="Default"/>
      </w:pPr>
    </w:p>
    <w:p w:rsidR="00A61DF4" w:rsidRPr="001D764B" w:rsidRDefault="00A61DF4" w:rsidP="00C0197B">
      <w:pPr>
        <w:pStyle w:val="Default"/>
        <w:spacing w:after="200"/>
        <w:jc w:val="center"/>
        <w:rPr>
          <w:b/>
          <w:bCs/>
        </w:rPr>
      </w:pPr>
      <w:r w:rsidRPr="001D764B">
        <w:t xml:space="preserve"> </w:t>
      </w:r>
      <w:r w:rsidRPr="001D764B">
        <w:rPr>
          <w:b/>
          <w:bCs/>
        </w:rPr>
        <w:t xml:space="preserve">Тарифы на услуги по передаче электрической энергии, оказываемые </w:t>
      </w:r>
      <w:r w:rsidR="001D764B">
        <w:rPr>
          <w:b/>
          <w:bCs/>
        </w:rPr>
        <w:t xml:space="preserve">                                          </w:t>
      </w:r>
      <w:r w:rsidR="00423141" w:rsidRPr="001D764B">
        <w:rPr>
          <w:b/>
          <w:bCs/>
        </w:rPr>
        <w:t>П</w:t>
      </w:r>
      <w:r w:rsidRPr="001D764B">
        <w:rPr>
          <w:b/>
          <w:bCs/>
        </w:rPr>
        <w:t xml:space="preserve">АО «Корпорация ВСМПО-АВИСМА» для взаимозачетов между </w:t>
      </w:r>
      <w:r w:rsidR="001D764B">
        <w:rPr>
          <w:b/>
          <w:bCs/>
        </w:rPr>
        <w:t xml:space="preserve">                                                       </w:t>
      </w:r>
      <w:r w:rsidRPr="001D764B">
        <w:rPr>
          <w:b/>
          <w:bCs/>
        </w:rPr>
        <w:t xml:space="preserve">ОАО «МРСК Урала» и </w:t>
      </w:r>
      <w:r w:rsidR="00423141" w:rsidRPr="001D764B">
        <w:rPr>
          <w:b/>
          <w:bCs/>
        </w:rPr>
        <w:t>П</w:t>
      </w:r>
      <w:r w:rsidRPr="001D764B">
        <w:rPr>
          <w:b/>
          <w:bCs/>
        </w:rPr>
        <w:t>АО «Корпорация ВСМПО-АВИСМА»</w:t>
      </w:r>
      <w:r w:rsidR="005746BE">
        <w:rPr>
          <w:b/>
          <w:bCs/>
        </w:rPr>
        <w:t>.</w:t>
      </w:r>
      <w:r w:rsidRPr="001D764B">
        <w:rPr>
          <w:b/>
          <w:bCs/>
        </w:rPr>
        <w:t xml:space="preserve"> </w:t>
      </w:r>
    </w:p>
    <w:p w:rsidR="00A61DF4" w:rsidRPr="001D764B" w:rsidRDefault="00A61DF4" w:rsidP="007000D1">
      <w:pPr>
        <w:autoSpaceDE w:val="0"/>
        <w:autoSpaceDN w:val="0"/>
        <w:adjustRightInd w:val="0"/>
        <w:ind w:right="-171" w:firstLine="567"/>
        <w:jc w:val="both"/>
        <w:rPr>
          <w:szCs w:val="24"/>
        </w:rPr>
      </w:pPr>
      <w:proofErr w:type="gramStart"/>
      <w:r w:rsidRPr="001D764B">
        <w:rPr>
          <w:szCs w:val="24"/>
        </w:rPr>
        <w:t>Индивидуальные тарифы на услуги по передаче электрической энергии для взаимных расчетов между сетевыми организациями, расположенными на территории Свердловской области</w:t>
      </w:r>
      <w:r w:rsidR="0057215E" w:rsidRPr="001D764B">
        <w:rPr>
          <w:szCs w:val="24"/>
        </w:rPr>
        <w:t>,</w:t>
      </w:r>
      <w:r w:rsidRPr="001D764B">
        <w:rPr>
          <w:szCs w:val="24"/>
        </w:rPr>
        <w:t xml:space="preserve"> утверждены постановлением Региональной энергетической комиссии Свердловской области от </w:t>
      </w:r>
      <w:r w:rsidR="004C1B8F" w:rsidRPr="001D764B">
        <w:rPr>
          <w:szCs w:val="24"/>
        </w:rPr>
        <w:t>2</w:t>
      </w:r>
      <w:r w:rsidR="001D764B" w:rsidRPr="001D764B">
        <w:rPr>
          <w:szCs w:val="24"/>
        </w:rPr>
        <w:t>8.1</w:t>
      </w:r>
      <w:r w:rsidR="00052E50" w:rsidRPr="00052E50">
        <w:rPr>
          <w:szCs w:val="24"/>
        </w:rPr>
        <w:t>1</w:t>
      </w:r>
      <w:r w:rsidR="001D764B" w:rsidRPr="001D764B">
        <w:rPr>
          <w:szCs w:val="24"/>
        </w:rPr>
        <w:t>.202</w:t>
      </w:r>
      <w:r w:rsidR="00052E50" w:rsidRPr="00052E50">
        <w:rPr>
          <w:szCs w:val="24"/>
        </w:rPr>
        <w:t>2</w:t>
      </w:r>
      <w:r w:rsidRPr="001D764B">
        <w:rPr>
          <w:szCs w:val="24"/>
        </w:rPr>
        <w:t xml:space="preserve"> г. № </w:t>
      </w:r>
      <w:r w:rsidR="00052E50">
        <w:rPr>
          <w:szCs w:val="24"/>
        </w:rPr>
        <w:t>2</w:t>
      </w:r>
      <w:r w:rsidR="00052E50" w:rsidRPr="00052E50">
        <w:rPr>
          <w:szCs w:val="24"/>
        </w:rPr>
        <w:t>38</w:t>
      </w:r>
      <w:r w:rsidR="00596CAF" w:rsidRPr="001D764B">
        <w:rPr>
          <w:szCs w:val="24"/>
        </w:rPr>
        <w:t>-</w:t>
      </w:r>
      <w:r w:rsidRPr="001D764B">
        <w:rPr>
          <w:szCs w:val="24"/>
        </w:rPr>
        <w:t>ПК</w:t>
      </w:r>
      <w:r w:rsidR="007B23B5" w:rsidRPr="001D764B">
        <w:rPr>
          <w:szCs w:val="24"/>
        </w:rPr>
        <w:t xml:space="preserve"> </w:t>
      </w:r>
      <w:r w:rsidR="004C1B8F" w:rsidRPr="001D764B">
        <w:rPr>
          <w:szCs w:val="24"/>
        </w:rPr>
        <w:t>«</w:t>
      </w:r>
      <w:r w:rsidR="00052E50">
        <w:rPr>
          <w:b/>
          <w:i/>
          <w:szCs w:val="24"/>
        </w:rPr>
        <w:t>Об установлении индивидуальных тарифов на услуги по передаче электрической энергии для взаиморасчетов между сетевыми организациями, расположенными на территории Свердловской области, на 2023</w:t>
      </w:r>
      <w:r w:rsidR="009E06BF">
        <w:rPr>
          <w:b/>
          <w:i/>
          <w:szCs w:val="24"/>
        </w:rPr>
        <w:t>-2027 годы</w:t>
      </w:r>
      <w:r w:rsidR="004C1B8F" w:rsidRPr="001D764B">
        <w:rPr>
          <w:szCs w:val="24"/>
        </w:rPr>
        <w:t>»</w:t>
      </w:r>
      <w:r w:rsidR="001D764B" w:rsidRPr="001D764B">
        <w:rPr>
          <w:szCs w:val="24"/>
        </w:rPr>
        <w:t>.</w:t>
      </w:r>
      <w:proofErr w:type="gramEnd"/>
      <w:r w:rsidR="004C1B8F" w:rsidRPr="001D764B">
        <w:rPr>
          <w:szCs w:val="24"/>
        </w:rPr>
        <w:t xml:space="preserve"> </w:t>
      </w:r>
      <w:proofErr w:type="gramStart"/>
      <w:r w:rsidRPr="001D764B">
        <w:rPr>
          <w:szCs w:val="24"/>
        </w:rPr>
        <w:t>(</w:t>
      </w:r>
      <w:r w:rsidR="0057215E" w:rsidRPr="001D764B">
        <w:rPr>
          <w:szCs w:val="24"/>
        </w:rPr>
        <w:t>Текст постановления опубликован на официальном сайте региональной энергетической</w:t>
      </w:r>
      <w:proofErr w:type="gramEnd"/>
      <w:r w:rsidR="0057215E" w:rsidRPr="001D764B">
        <w:rPr>
          <w:szCs w:val="24"/>
        </w:rPr>
        <w:t xml:space="preserve"> комиссии Свердловской области</w:t>
      </w:r>
      <w:r w:rsidR="007B23B5" w:rsidRPr="001D764B">
        <w:rPr>
          <w:szCs w:val="24"/>
        </w:rPr>
        <w:t>:</w:t>
      </w:r>
      <w:r w:rsidR="001D764B" w:rsidRPr="001D764B">
        <w:rPr>
          <w:szCs w:val="24"/>
        </w:rPr>
        <w:t xml:space="preserve"> </w:t>
      </w:r>
      <w:hyperlink r:id="rId6" w:history="1">
        <w:r w:rsidR="0057215E" w:rsidRPr="001D764B">
          <w:rPr>
            <w:rStyle w:val="a4"/>
            <w:b w:val="0"/>
            <w:color w:val="auto"/>
            <w:szCs w:val="24"/>
          </w:rPr>
          <w:t>http://rek.midural.ru</w:t>
        </w:r>
      </w:hyperlink>
      <w:r w:rsidR="00FE0042" w:rsidRPr="001D764B">
        <w:rPr>
          <w:szCs w:val="24"/>
        </w:rPr>
        <w:t>).</w:t>
      </w:r>
    </w:p>
    <w:p w:rsidR="00992659" w:rsidRPr="001D764B" w:rsidRDefault="00992659" w:rsidP="0057215E">
      <w:pPr>
        <w:ind w:firstLine="567"/>
        <w:jc w:val="both"/>
        <w:rPr>
          <w:b/>
          <w:szCs w:val="24"/>
        </w:rPr>
      </w:pPr>
    </w:p>
    <w:p w:rsidR="00A61DF4" w:rsidRPr="001D764B" w:rsidRDefault="00A61DF4" w:rsidP="001D764B">
      <w:pPr>
        <w:autoSpaceDE w:val="0"/>
        <w:autoSpaceDN w:val="0"/>
        <w:adjustRightInd w:val="0"/>
        <w:ind w:firstLine="7020"/>
        <w:jc w:val="right"/>
        <w:rPr>
          <w:szCs w:val="24"/>
        </w:rPr>
      </w:pPr>
      <w:r w:rsidRPr="001D764B">
        <w:rPr>
          <w:szCs w:val="24"/>
        </w:rPr>
        <w:t>К постановлению РЭК</w:t>
      </w:r>
    </w:p>
    <w:p w:rsidR="00A61DF4" w:rsidRPr="001D764B" w:rsidRDefault="00A61DF4" w:rsidP="001D764B">
      <w:pPr>
        <w:autoSpaceDE w:val="0"/>
        <w:autoSpaceDN w:val="0"/>
        <w:adjustRightInd w:val="0"/>
        <w:ind w:firstLine="7020"/>
        <w:jc w:val="right"/>
        <w:rPr>
          <w:szCs w:val="24"/>
        </w:rPr>
      </w:pPr>
      <w:r w:rsidRPr="001D764B">
        <w:rPr>
          <w:szCs w:val="24"/>
        </w:rPr>
        <w:t>Свердловской области</w:t>
      </w:r>
    </w:p>
    <w:p w:rsidR="00A61DF4" w:rsidRPr="001D764B" w:rsidRDefault="00A61DF4" w:rsidP="001D764B">
      <w:pPr>
        <w:autoSpaceDE w:val="0"/>
        <w:autoSpaceDN w:val="0"/>
        <w:adjustRightInd w:val="0"/>
        <w:ind w:firstLine="7020"/>
        <w:jc w:val="right"/>
        <w:rPr>
          <w:szCs w:val="24"/>
        </w:rPr>
      </w:pPr>
      <w:r w:rsidRPr="001D764B">
        <w:rPr>
          <w:szCs w:val="24"/>
        </w:rPr>
        <w:t xml:space="preserve">от </w:t>
      </w:r>
      <w:r w:rsidR="00423141" w:rsidRPr="001D764B">
        <w:rPr>
          <w:szCs w:val="24"/>
        </w:rPr>
        <w:t>2</w:t>
      </w:r>
      <w:r w:rsidR="001D764B" w:rsidRPr="001D764B">
        <w:rPr>
          <w:szCs w:val="24"/>
        </w:rPr>
        <w:t>8</w:t>
      </w:r>
      <w:r w:rsidR="008D4489" w:rsidRPr="001D764B">
        <w:rPr>
          <w:szCs w:val="24"/>
        </w:rPr>
        <w:t>.1</w:t>
      </w:r>
      <w:r w:rsidR="009E06BF">
        <w:rPr>
          <w:szCs w:val="24"/>
        </w:rPr>
        <w:t>1</w:t>
      </w:r>
      <w:r w:rsidR="008D4489" w:rsidRPr="001D764B">
        <w:rPr>
          <w:szCs w:val="24"/>
        </w:rPr>
        <w:t>.202</w:t>
      </w:r>
      <w:r w:rsidR="009E06BF">
        <w:rPr>
          <w:szCs w:val="24"/>
        </w:rPr>
        <w:t>2</w:t>
      </w:r>
      <w:r w:rsidR="008D4489" w:rsidRPr="001D764B">
        <w:rPr>
          <w:szCs w:val="24"/>
        </w:rPr>
        <w:t xml:space="preserve"> № 2</w:t>
      </w:r>
      <w:r w:rsidR="009E06BF">
        <w:rPr>
          <w:szCs w:val="24"/>
        </w:rPr>
        <w:t>38</w:t>
      </w:r>
      <w:r w:rsidR="00423141" w:rsidRPr="001D764B">
        <w:rPr>
          <w:szCs w:val="24"/>
        </w:rPr>
        <w:t>-ПК</w:t>
      </w:r>
    </w:p>
    <w:p w:rsidR="00A61DF4" w:rsidRPr="001D764B" w:rsidRDefault="00A61DF4" w:rsidP="00A61DF4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A61DF4" w:rsidRPr="001D764B" w:rsidRDefault="001D764B" w:rsidP="001A116C">
      <w:pPr>
        <w:autoSpaceDE w:val="0"/>
        <w:autoSpaceDN w:val="0"/>
        <w:adjustRightInd w:val="0"/>
        <w:ind w:firstLine="540"/>
        <w:jc w:val="center"/>
        <w:rPr>
          <w:szCs w:val="24"/>
        </w:rPr>
      </w:pPr>
      <w:r w:rsidRPr="001D764B">
        <w:rPr>
          <w:szCs w:val="24"/>
        </w:rPr>
        <w:t>Индивидуальные тарифы на услуги по передаче электрической энергии для взаиморасчетов между сетевыми организациями, расположенными на террито</w:t>
      </w:r>
      <w:r w:rsidR="009E06BF">
        <w:rPr>
          <w:szCs w:val="24"/>
        </w:rPr>
        <w:t>рии Свердловской области, на 2023</w:t>
      </w:r>
      <w:r w:rsidRPr="001D764B">
        <w:rPr>
          <w:szCs w:val="24"/>
        </w:rPr>
        <w:t>–202</w:t>
      </w:r>
      <w:r w:rsidR="009E06BF">
        <w:rPr>
          <w:szCs w:val="24"/>
        </w:rPr>
        <w:t>7</w:t>
      </w:r>
      <w:r w:rsidRPr="001D764B">
        <w:rPr>
          <w:szCs w:val="24"/>
        </w:rPr>
        <w:t xml:space="preserve"> годы</w:t>
      </w:r>
      <w:r w:rsidR="009E06BF">
        <w:rPr>
          <w:szCs w:val="24"/>
        </w:rPr>
        <w:t xml:space="preserve"> (устанавливаются согласно заключенным договорам оказания услуг по передаче электрической энергии)</w:t>
      </w:r>
      <w:r w:rsidRPr="001D764B">
        <w:rPr>
          <w:szCs w:val="24"/>
        </w:rPr>
        <w:t>.</w:t>
      </w:r>
    </w:p>
    <w:p w:rsidR="00992659" w:rsidRPr="001D764B" w:rsidRDefault="00992659" w:rsidP="001A116C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tbl>
      <w:tblPr>
        <w:tblW w:w="10222" w:type="dxa"/>
        <w:tblInd w:w="93" w:type="dxa"/>
        <w:tblLayout w:type="fixed"/>
        <w:tblLook w:val="04A0"/>
      </w:tblPr>
      <w:tblGrid>
        <w:gridCol w:w="866"/>
        <w:gridCol w:w="1666"/>
        <w:gridCol w:w="1417"/>
        <w:gridCol w:w="1275"/>
        <w:gridCol w:w="1134"/>
        <w:gridCol w:w="1454"/>
        <w:gridCol w:w="1246"/>
        <w:gridCol w:w="1164"/>
      </w:tblGrid>
      <w:tr w:rsidR="000062BA" w:rsidRPr="001D764B" w:rsidTr="00FE0042">
        <w:trPr>
          <w:trHeight w:val="402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 xml:space="preserve">№ </w:t>
            </w:r>
            <w:proofErr w:type="gramStart"/>
            <w:r w:rsidRPr="001D764B">
              <w:rPr>
                <w:color w:val="000000"/>
                <w:szCs w:val="24"/>
              </w:rPr>
              <w:t>п</w:t>
            </w:r>
            <w:proofErr w:type="gramEnd"/>
            <w:r w:rsidRPr="001D764B">
              <w:rPr>
                <w:color w:val="000000"/>
                <w:szCs w:val="24"/>
              </w:rPr>
              <w:t>/п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ind w:left="-119" w:right="-111"/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Наименование сетевых организаций, период действия тарифов</w:t>
            </w:r>
          </w:p>
        </w:tc>
        <w:tc>
          <w:tcPr>
            <w:tcW w:w="38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1 полугодие</w:t>
            </w:r>
          </w:p>
        </w:tc>
        <w:tc>
          <w:tcPr>
            <w:tcW w:w="3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2 полугодие</w:t>
            </w:r>
          </w:p>
        </w:tc>
      </w:tr>
      <w:tr w:rsidR="000062BA" w:rsidRPr="001D764B" w:rsidTr="00FE0042">
        <w:trPr>
          <w:trHeight w:val="40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1D764B" w:rsidRDefault="000062BA" w:rsidP="00FE0042">
            <w:pPr>
              <w:rPr>
                <w:color w:val="000000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1D764B" w:rsidRDefault="000062BA" w:rsidP="00FE0042">
            <w:pPr>
              <w:rPr>
                <w:color w:val="000000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D764B">
              <w:rPr>
                <w:color w:val="000000"/>
                <w:szCs w:val="24"/>
              </w:rPr>
              <w:t>Двухставочный</w:t>
            </w:r>
            <w:proofErr w:type="spellEnd"/>
            <w:r w:rsidRPr="001D764B">
              <w:rPr>
                <w:color w:val="000000"/>
                <w:szCs w:val="24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ind w:left="-95" w:right="-106"/>
              <w:jc w:val="center"/>
              <w:rPr>
                <w:color w:val="000000"/>
                <w:szCs w:val="24"/>
              </w:rPr>
            </w:pPr>
            <w:proofErr w:type="spellStart"/>
            <w:r w:rsidRPr="001D764B">
              <w:rPr>
                <w:color w:val="000000"/>
                <w:szCs w:val="24"/>
              </w:rPr>
              <w:t>Односта-вочный</w:t>
            </w:r>
            <w:proofErr w:type="spellEnd"/>
            <w:r w:rsidRPr="001D764B">
              <w:rPr>
                <w:color w:val="000000"/>
                <w:szCs w:val="24"/>
              </w:rPr>
              <w:t xml:space="preserve"> тариф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D764B">
              <w:rPr>
                <w:color w:val="000000"/>
                <w:szCs w:val="24"/>
              </w:rPr>
              <w:t>Двухставочный</w:t>
            </w:r>
            <w:proofErr w:type="spellEnd"/>
            <w:r w:rsidRPr="001D764B">
              <w:rPr>
                <w:color w:val="000000"/>
                <w:szCs w:val="24"/>
              </w:rPr>
              <w:t xml:space="preserve"> тариф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proofErr w:type="spellStart"/>
            <w:r w:rsidRPr="001D764B">
              <w:rPr>
                <w:color w:val="000000"/>
                <w:szCs w:val="24"/>
              </w:rPr>
              <w:t>Односта-вочный</w:t>
            </w:r>
            <w:proofErr w:type="spellEnd"/>
            <w:r w:rsidRPr="001D764B">
              <w:rPr>
                <w:color w:val="000000"/>
                <w:szCs w:val="24"/>
              </w:rPr>
              <w:t xml:space="preserve"> тариф</w:t>
            </w:r>
          </w:p>
        </w:tc>
      </w:tr>
      <w:tr w:rsidR="000062BA" w:rsidRPr="001D764B" w:rsidTr="00FE0042">
        <w:trPr>
          <w:trHeight w:val="1776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1D764B" w:rsidRDefault="000062BA" w:rsidP="00FE0042">
            <w:pPr>
              <w:rPr>
                <w:color w:val="000000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1D764B" w:rsidRDefault="000062BA" w:rsidP="00FE0042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ind w:right="-108"/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 xml:space="preserve">ставка за содержание </w:t>
            </w:r>
            <w:proofErr w:type="spellStart"/>
            <w:proofErr w:type="gramStart"/>
            <w:r w:rsidRPr="001D764B">
              <w:rPr>
                <w:color w:val="000000"/>
                <w:szCs w:val="24"/>
              </w:rPr>
              <w:t>электричес-ких</w:t>
            </w:r>
            <w:proofErr w:type="spellEnd"/>
            <w:proofErr w:type="gramEnd"/>
            <w:r w:rsidRPr="001D764B">
              <w:rPr>
                <w:color w:val="000000"/>
                <w:szCs w:val="24"/>
              </w:rPr>
              <w:t xml:space="preserve"> сетей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1D764B" w:rsidRDefault="000062BA" w:rsidP="00FE0042">
            <w:pPr>
              <w:rPr>
                <w:color w:val="000000"/>
                <w:szCs w:val="24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 xml:space="preserve">ставка за содержание </w:t>
            </w:r>
            <w:proofErr w:type="spellStart"/>
            <w:proofErr w:type="gramStart"/>
            <w:r w:rsidRPr="001D764B">
              <w:rPr>
                <w:color w:val="000000"/>
                <w:szCs w:val="24"/>
              </w:rPr>
              <w:t>электричес-ких</w:t>
            </w:r>
            <w:proofErr w:type="spellEnd"/>
            <w:proofErr w:type="gramEnd"/>
            <w:r w:rsidRPr="001D764B">
              <w:rPr>
                <w:color w:val="000000"/>
                <w:szCs w:val="24"/>
              </w:rPr>
              <w:t xml:space="preserve"> сетей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 xml:space="preserve">ставка на оплату  </w:t>
            </w:r>
            <w:proofErr w:type="spellStart"/>
            <w:proofErr w:type="gramStart"/>
            <w:r w:rsidRPr="001D764B">
              <w:rPr>
                <w:color w:val="000000"/>
                <w:szCs w:val="24"/>
              </w:rPr>
              <w:t>техноло-гического</w:t>
            </w:r>
            <w:proofErr w:type="spellEnd"/>
            <w:proofErr w:type="gramEnd"/>
            <w:r w:rsidRPr="001D764B">
              <w:rPr>
                <w:color w:val="000000"/>
                <w:szCs w:val="24"/>
              </w:rPr>
              <w:t xml:space="preserve"> расхода (потерь)</w:t>
            </w: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1D764B" w:rsidRDefault="000062BA" w:rsidP="00FE0042">
            <w:pPr>
              <w:rPr>
                <w:color w:val="000000"/>
                <w:szCs w:val="24"/>
              </w:rPr>
            </w:pPr>
          </w:p>
        </w:tc>
      </w:tr>
      <w:tr w:rsidR="000062BA" w:rsidRPr="001D764B" w:rsidTr="00FE0042">
        <w:trPr>
          <w:trHeight w:val="732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1D764B" w:rsidRDefault="000062BA" w:rsidP="00FE0042">
            <w:pPr>
              <w:rPr>
                <w:color w:val="000000"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62BA" w:rsidRPr="001D764B" w:rsidRDefault="000062BA" w:rsidP="00FE0042">
            <w:pPr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руб./</w:t>
            </w:r>
          </w:p>
          <w:p w:rsidR="000062BA" w:rsidRPr="001D764B" w:rsidRDefault="005A17F3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М</w:t>
            </w:r>
            <w:r w:rsidR="000062BA" w:rsidRPr="001D764B">
              <w:rPr>
                <w:color w:val="000000"/>
                <w:szCs w:val="24"/>
              </w:rPr>
              <w:t>Вт· мес.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руб./</w:t>
            </w:r>
          </w:p>
          <w:p w:rsidR="000062BA" w:rsidRPr="001D764B" w:rsidRDefault="005A17F3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М</w:t>
            </w:r>
            <w:r w:rsidR="000062BA" w:rsidRPr="001D764B">
              <w:rPr>
                <w:color w:val="000000"/>
                <w:szCs w:val="24"/>
              </w:rPr>
              <w:t>Вт·</w:t>
            </w:r>
            <w:proofErr w:type="gramStart"/>
            <w:r w:rsidR="000062BA" w:rsidRPr="001D764B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руб./</w:t>
            </w:r>
          </w:p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кВт·</w:t>
            </w:r>
            <w:proofErr w:type="gramStart"/>
            <w:r w:rsidRPr="001D764B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145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руб./</w:t>
            </w:r>
          </w:p>
          <w:p w:rsidR="000062BA" w:rsidRPr="001D764B" w:rsidRDefault="005A17F3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М</w:t>
            </w:r>
            <w:r w:rsidR="000062BA" w:rsidRPr="001D764B">
              <w:rPr>
                <w:color w:val="000000"/>
                <w:szCs w:val="24"/>
              </w:rPr>
              <w:t>Вт·мес.</w:t>
            </w:r>
          </w:p>
        </w:tc>
        <w:tc>
          <w:tcPr>
            <w:tcW w:w="124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руб./</w:t>
            </w:r>
          </w:p>
          <w:p w:rsidR="000062BA" w:rsidRPr="001D764B" w:rsidRDefault="005A17F3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М</w:t>
            </w:r>
            <w:r w:rsidR="000062BA" w:rsidRPr="001D764B">
              <w:rPr>
                <w:color w:val="000000"/>
                <w:szCs w:val="24"/>
              </w:rPr>
              <w:t>Вт·</w:t>
            </w:r>
            <w:proofErr w:type="gramStart"/>
            <w:r w:rsidR="000062BA" w:rsidRPr="001D764B">
              <w:rPr>
                <w:color w:val="000000"/>
                <w:szCs w:val="24"/>
              </w:rPr>
              <w:t>ч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руб./</w:t>
            </w:r>
          </w:p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кВт·</w:t>
            </w:r>
            <w:proofErr w:type="gramStart"/>
            <w:r w:rsidRPr="001D764B">
              <w:rPr>
                <w:color w:val="000000"/>
                <w:szCs w:val="24"/>
              </w:rPr>
              <w:t>ч</w:t>
            </w:r>
            <w:proofErr w:type="gramEnd"/>
          </w:p>
        </w:tc>
      </w:tr>
    </w:tbl>
    <w:p w:rsidR="000062BA" w:rsidRPr="001D764B" w:rsidRDefault="000062BA" w:rsidP="000062BA">
      <w:pPr>
        <w:autoSpaceDE w:val="0"/>
        <w:autoSpaceDN w:val="0"/>
        <w:adjustRightInd w:val="0"/>
        <w:ind w:firstLine="540"/>
        <w:jc w:val="center"/>
        <w:rPr>
          <w:szCs w:val="24"/>
        </w:rPr>
      </w:pPr>
    </w:p>
    <w:tbl>
      <w:tblPr>
        <w:tblW w:w="10222" w:type="dxa"/>
        <w:tblInd w:w="93" w:type="dxa"/>
        <w:tblLayout w:type="fixed"/>
        <w:tblLook w:val="04A0"/>
      </w:tblPr>
      <w:tblGrid>
        <w:gridCol w:w="866"/>
        <w:gridCol w:w="1666"/>
        <w:gridCol w:w="1417"/>
        <w:gridCol w:w="1275"/>
        <w:gridCol w:w="1134"/>
        <w:gridCol w:w="1454"/>
        <w:gridCol w:w="1246"/>
        <w:gridCol w:w="1164"/>
      </w:tblGrid>
      <w:tr w:rsidR="000062BA" w:rsidRPr="001D764B" w:rsidTr="00FE0042">
        <w:trPr>
          <w:trHeight w:val="298"/>
          <w:tblHeader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2BA" w:rsidRPr="001D764B" w:rsidRDefault="00A60F36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5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6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7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0062BA" w:rsidP="00FE0042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8</w:t>
            </w:r>
          </w:p>
        </w:tc>
      </w:tr>
      <w:tr w:rsidR="000062BA" w:rsidRPr="001D764B" w:rsidTr="00FE0042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062BA" w:rsidRPr="001D764B" w:rsidRDefault="00D763A3" w:rsidP="00A60F3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A60F36" w:rsidRPr="001D764B">
              <w:rPr>
                <w:color w:val="000000"/>
                <w:szCs w:val="24"/>
              </w:rPr>
              <w:t>.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2BA" w:rsidRPr="001D764B" w:rsidRDefault="001D764B" w:rsidP="001D764B">
            <w:pPr>
              <w:rPr>
                <w:color w:val="000000"/>
                <w:szCs w:val="24"/>
              </w:rPr>
            </w:pPr>
            <w:r w:rsidRPr="001D764B">
              <w:rPr>
                <w:szCs w:val="24"/>
              </w:rPr>
              <w:t>Открытое акционерное общество «Межрегиональная распределительная сетевая компания Урала» (город Екатеринбург) - Публичное акционерное общество «Корпорация ВСМПО-АВИСМА» (город Верхняя Салда)</w:t>
            </w:r>
          </w:p>
        </w:tc>
      </w:tr>
      <w:tr w:rsidR="009E06BF" w:rsidRPr="001D764B" w:rsidTr="001D764B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6BF" w:rsidRPr="001D764B" w:rsidRDefault="00D763A3" w:rsidP="00A60F3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9E06BF" w:rsidRPr="001D764B">
              <w:rPr>
                <w:color w:val="000000"/>
                <w:szCs w:val="24"/>
              </w:rPr>
              <w:t>.1.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9E06BF">
            <w:pPr>
              <w:jc w:val="center"/>
              <w:rPr>
                <w:color w:val="000000"/>
                <w:szCs w:val="24"/>
              </w:rPr>
            </w:pPr>
            <w:r w:rsidRPr="001D764B">
              <w:rPr>
                <w:color w:val="000000"/>
                <w:szCs w:val="24"/>
              </w:rPr>
              <w:t>20</w:t>
            </w:r>
            <w:r>
              <w:rPr>
                <w:color w:val="000000"/>
                <w:szCs w:val="24"/>
              </w:rPr>
              <w:t>23</w:t>
            </w:r>
            <w:r w:rsidRPr="001D764B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98 260,44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0,39106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526A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98 260,44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526A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71,40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526A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0,39106</w:t>
            </w:r>
          </w:p>
        </w:tc>
      </w:tr>
      <w:tr w:rsidR="009E06BF" w:rsidRPr="001D764B" w:rsidTr="001D764B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6BF" w:rsidRPr="001D764B" w:rsidRDefault="00D763A3" w:rsidP="00A60F3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9E06BF" w:rsidRPr="001D764B">
              <w:rPr>
                <w:color w:val="000000"/>
                <w:szCs w:val="24"/>
              </w:rPr>
              <w:t>.2.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2024</w:t>
            </w:r>
            <w:r w:rsidRPr="001D764B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96 106,53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74,26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0,38691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526A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96 106,53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526A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74,26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526A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0,38691</w:t>
            </w:r>
          </w:p>
        </w:tc>
      </w:tr>
      <w:tr w:rsidR="009E06BF" w:rsidRPr="001D764B" w:rsidTr="001D764B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6BF" w:rsidRPr="001D764B" w:rsidRDefault="00D763A3" w:rsidP="00A60F3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9E06BF" w:rsidRPr="001D764B">
              <w:rPr>
                <w:color w:val="000000"/>
                <w:szCs w:val="24"/>
              </w:rPr>
              <w:t>.3.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2025</w:t>
            </w:r>
            <w:r w:rsidRPr="001D764B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98 048,27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77,23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0,39620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526A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98 048,27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526A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77,23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526A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0,39620</w:t>
            </w:r>
          </w:p>
        </w:tc>
      </w:tr>
      <w:tr w:rsidR="009E06BF" w:rsidRPr="001D764B" w:rsidTr="001D764B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6BF" w:rsidRPr="001D764B" w:rsidRDefault="00D763A3" w:rsidP="00A60F3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9E06BF" w:rsidRPr="001D764B">
              <w:rPr>
                <w:color w:val="000000"/>
                <w:szCs w:val="24"/>
              </w:rPr>
              <w:t>.4.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2026</w:t>
            </w:r>
            <w:r w:rsidRPr="001D764B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100 045,00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0,40578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526A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100 045,00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526A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80,32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526A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0,40578</w:t>
            </w:r>
          </w:p>
        </w:tc>
      </w:tr>
      <w:tr w:rsidR="009E06BF" w:rsidRPr="001D764B" w:rsidTr="001D764B">
        <w:trPr>
          <w:trHeight w:val="284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06BF" w:rsidRPr="001D764B" w:rsidRDefault="00D763A3" w:rsidP="00A60F36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9E06BF" w:rsidRPr="001D764B">
              <w:rPr>
                <w:color w:val="000000"/>
                <w:szCs w:val="24"/>
              </w:rPr>
              <w:t>.5.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2027</w:t>
            </w:r>
            <w:r w:rsidRPr="001D764B">
              <w:rPr>
                <w:color w:val="000000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102 328,72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83,53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1D764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0,41643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526A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102 328,72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526A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83,53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06BF" w:rsidRPr="001D764B" w:rsidRDefault="009E06BF" w:rsidP="00526A76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0,41643</w:t>
            </w:r>
          </w:p>
        </w:tc>
      </w:tr>
    </w:tbl>
    <w:p w:rsidR="00DB6A89" w:rsidRPr="001D764B" w:rsidRDefault="00DB6A89">
      <w:pPr>
        <w:rPr>
          <w:szCs w:val="24"/>
        </w:rPr>
      </w:pPr>
    </w:p>
    <w:p w:rsidR="000062BA" w:rsidRPr="001D764B" w:rsidRDefault="000062BA" w:rsidP="000062BA">
      <w:pPr>
        <w:widowControl w:val="0"/>
        <w:autoSpaceDE w:val="0"/>
        <w:autoSpaceDN w:val="0"/>
        <w:adjustRightInd w:val="0"/>
        <w:jc w:val="center"/>
        <w:outlineLvl w:val="0"/>
        <w:rPr>
          <w:szCs w:val="24"/>
        </w:rPr>
      </w:pPr>
      <w:r w:rsidRPr="001D764B">
        <w:rPr>
          <w:szCs w:val="24"/>
        </w:rPr>
        <w:t xml:space="preserve">Разъяснения </w:t>
      </w:r>
      <w:proofErr w:type="gramStart"/>
      <w:r w:rsidRPr="001D764B">
        <w:rPr>
          <w:szCs w:val="24"/>
        </w:rPr>
        <w:t xml:space="preserve">по применению индивидуальных тарифов на услуги по передаче электрической энергии для взаиморасчетов между </w:t>
      </w:r>
      <w:r w:rsidR="00BB2715" w:rsidRPr="001D764B">
        <w:rPr>
          <w:szCs w:val="24"/>
        </w:rPr>
        <w:t>сетевыми организациями</w:t>
      </w:r>
      <w:proofErr w:type="gramEnd"/>
      <w:r w:rsidRPr="001D764B">
        <w:rPr>
          <w:szCs w:val="24"/>
        </w:rPr>
        <w:t>, расположенными на территории Свердловской области</w:t>
      </w:r>
      <w:r w:rsidR="005A17F3" w:rsidRPr="001D764B">
        <w:rPr>
          <w:szCs w:val="24"/>
        </w:rPr>
        <w:t xml:space="preserve"> на 20</w:t>
      </w:r>
      <w:r w:rsidR="009E06BF">
        <w:rPr>
          <w:szCs w:val="24"/>
        </w:rPr>
        <w:t>23</w:t>
      </w:r>
      <w:r w:rsidR="005A17F3" w:rsidRPr="001D764B">
        <w:rPr>
          <w:szCs w:val="24"/>
        </w:rPr>
        <w:t>-202</w:t>
      </w:r>
      <w:r w:rsidR="009E06BF">
        <w:rPr>
          <w:szCs w:val="24"/>
        </w:rPr>
        <w:t>7</w:t>
      </w:r>
      <w:r w:rsidR="005A17F3" w:rsidRPr="001D764B">
        <w:rPr>
          <w:szCs w:val="24"/>
        </w:rPr>
        <w:t xml:space="preserve"> годы.</w:t>
      </w:r>
    </w:p>
    <w:p w:rsidR="000062BA" w:rsidRPr="001D764B" w:rsidRDefault="000062BA" w:rsidP="000062BA">
      <w:pPr>
        <w:widowControl w:val="0"/>
        <w:autoSpaceDE w:val="0"/>
        <w:autoSpaceDN w:val="0"/>
        <w:adjustRightInd w:val="0"/>
        <w:ind w:firstLine="540"/>
        <w:jc w:val="center"/>
        <w:rPr>
          <w:szCs w:val="24"/>
        </w:rPr>
      </w:pPr>
    </w:p>
    <w:p w:rsidR="000062BA" w:rsidRPr="001D764B" w:rsidRDefault="000062BA" w:rsidP="000062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1D764B">
        <w:rPr>
          <w:szCs w:val="24"/>
        </w:rPr>
        <w:t xml:space="preserve">1. Тарифы, указанные </w:t>
      </w:r>
      <w:r w:rsidR="009E06BF">
        <w:rPr>
          <w:szCs w:val="24"/>
        </w:rPr>
        <w:t>выше</w:t>
      </w:r>
      <w:r w:rsidRPr="001D764B">
        <w:rPr>
          <w:szCs w:val="24"/>
        </w:rPr>
        <w:t>, применяются для взаимных расчетов между сетевыми организациями за услуги по передаче электрической энергии с использованием принадлежащих им на праве собственности или ином законном основании объектов электросетевого хозяйства.</w:t>
      </w:r>
    </w:p>
    <w:p w:rsidR="000062BA" w:rsidRPr="001D764B" w:rsidRDefault="000062BA" w:rsidP="000062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1D764B">
        <w:rPr>
          <w:szCs w:val="24"/>
        </w:rPr>
        <w:lastRenderedPageBreak/>
        <w:t>2. Тарифы на услуги по передаче электрической энергии учитывают затраты сетевых организаций по содержанию оборудования, участвующего в передаче электрической энергии, и покупке нормативного технологического расхода (потерь) электрической энергии.</w:t>
      </w:r>
    </w:p>
    <w:p w:rsidR="000062BA" w:rsidRPr="001D764B" w:rsidRDefault="000062BA" w:rsidP="000062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  <w:r w:rsidRPr="001D764B">
        <w:rPr>
          <w:szCs w:val="24"/>
        </w:rPr>
        <w:t>3. В тарифах на услуги по передаче электрической энергии не учтен налог на добавленную стоимость.</w:t>
      </w:r>
    </w:p>
    <w:p w:rsidR="000062BA" w:rsidRPr="001D764B" w:rsidRDefault="000062BA" w:rsidP="000062BA">
      <w:pPr>
        <w:widowControl w:val="0"/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61DF4" w:rsidRPr="001D764B" w:rsidRDefault="00A61DF4" w:rsidP="001A116C">
      <w:pPr>
        <w:pStyle w:val="Default"/>
        <w:spacing w:after="200"/>
        <w:jc w:val="center"/>
        <w:rPr>
          <w:b/>
          <w:bCs/>
        </w:rPr>
      </w:pPr>
      <w:r w:rsidRPr="001D764B">
        <w:rPr>
          <w:b/>
          <w:bCs/>
        </w:rPr>
        <w:t>Плата за технологическое присоединение к электрическим сетям</w:t>
      </w:r>
      <w:r w:rsidR="00AC4CAC" w:rsidRPr="001D764B">
        <w:rPr>
          <w:b/>
          <w:bCs/>
        </w:rPr>
        <w:t xml:space="preserve"> </w:t>
      </w:r>
      <w:r w:rsidR="007000D1">
        <w:rPr>
          <w:b/>
          <w:bCs/>
        </w:rPr>
        <w:t xml:space="preserve">                                                        </w:t>
      </w:r>
      <w:r w:rsidR="00AC4CAC" w:rsidRPr="001D764B">
        <w:rPr>
          <w:b/>
          <w:bCs/>
        </w:rPr>
        <w:t>ПАО «Корпорация ВСМПО</w:t>
      </w:r>
      <w:r w:rsidR="002C5521" w:rsidRPr="001D764B">
        <w:rPr>
          <w:b/>
          <w:bCs/>
        </w:rPr>
        <w:t>-</w:t>
      </w:r>
      <w:r w:rsidR="00AC4CAC" w:rsidRPr="001D764B">
        <w:rPr>
          <w:b/>
          <w:bCs/>
        </w:rPr>
        <w:t>АВИСМА»</w:t>
      </w:r>
      <w:r w:rsidRPr="001D764B">
        <w:rPr>
          <w:b/>
          <w:bCs/>
        </w:rPr>
        <w:t>.</w:t>
      </w:r>
    </w:p>
    <w:p w:rsidR="00F82CFB" w:rsidRDefault="008C4CB8" w:rsidP="007000D1">
      <w:pPr>
        <w:ind w:firstLine="567"/>
        <w:jc w:val="both"/>
        <w:rPr>
          <w:szCs w:val="24"/>
        </w:rPr>
      </w:pPr>
      <w:r w:rsidRPr="001D764B">
        <w:rPr>
          <w:szCs w:val="24"/>
        </w:rPr>
        <w:t>Стандартизированны</w:t>
      </w:r>
      <w:r w:rsidR="007000D1">
        <w:rPr>
          <w:szCs w:val="24"/>
        </w:rPr>
        <w:t>е</w:t>
      </w:r>
      <w:r w:rsidRPr="001D764B">
        <w:rPr>
          <w:szCs w:val="24"/>
        </w:rPr>
        <w:t xml:space="preserve"> тарифны</w:t>
      </w:r>
      <w:r w:rsidR="007000D1">
        <w:rPr>
          <w:szCs w:val="24"/>
        </w:rPr>
        <w:t>е</w:t>
      </w:r>
      <w:r w:rsidRPr="001D764B">
        <w:rPr>
          <w:szCs w:val="24"/>
        </w:rPr>
        <w:t xml:space="preserve"> ставки, формулы платы за технологическое присоединение</w:t>
      </w:r>
      <w:r w:rsidR="00F82CFB">
        <w:rPr>
          <w:szCs w:val="24"/>
        </w:rPr>
        <w:t>, льготные ставки за 1 кВт запрашиваемой максимальной мощности за технологическое присоединение</w:t>
      </w:r>
      <w:r w:rsidRPr="001D764B">
        <w:rPr>
          <w:szCs w:val="24"/>
        </w:rPr>
        <w:t xml:space="preserve"> к электрическим сетям ПАО «Корпорац</w:t>
      </w:r>
      <w:r w:rsidR="00F142C4" w:rsidRPr="001D764B">
        <w:rPr>
          <w:szCs w:val="24"/>
        </w:rPr>
        <w:t xml:space="preserve">ия ВСМПО-АВИСМА» (город Верхняя </w:t>
      </w:r>
      <w:r w:rsidR="00340D05" w:rsidRPr="001D764B">
        <w:rPr>
          <w:szCs w:val="24"/>
        </w:rPr>
        <w:t xml:space="preserve">Салда) </w:t>
      </w:r>
      <w:r w:rsidRPr="001D764B">
        <w:rPr>
          <w:szCs w:val="24"/>
        </w:rPr>
        <w:t>на террито</w:t>
      </w:r>
      <w:r w:rsidR="00F142C4" w:rsidRPr="001D764B">
        <w:rPr>
          <w:szCs w:val="24"/>
        </w:rPr>
        <w:t>рии Свердловской области на 202</w:t>
      </w:r>
      <w:r w:rsidR="00F82CFB">
        <w:rPr>
          <w:szCs w:val="24"/>
        </w:rPr>
        <w:t>3</w:t>
      </w:r>
      <w:r w:rsidRPr="001D764B">
        <w:rPr>
          <w:szCs w:val="24"/>
        </w:rPr>
        <w:t xml:space="preserve"> год утверждены</w:t>
      </w:r>
      <w:r w:rsidR="00F82CFB">
        <w:rPr>
          <w:szCs w:val="24"/>
        </w:rPr>
        <w:t>:</w:t>
      </w:r>
    </w:p>
    <w:p w:rsidR="00992659" w:rsidRDefault="00F82CFB" w:rsidP="007000D1">
      <w:pPr>
        <w:ind w:firstLine="567"/>
        <w:jc w:val="both"/>
        <w:rPr>
          <w:szCs w:val="24"/>
        </w:rPr>
      </w:pPr>
      <w:r>
        <w:rPr>
          <w:szCs w:val="24"/>
        </w:rPr>
        <w:t xml:space="preserve">- </w:t>
      </w:r>
      <w:r w:rsidR="008C4CB8" w:rsidRPr="001D764B">
        <w:rPr>
          <w:szCs w:val="24"/>
        </w:rPr>
        <w:t>Постановлением Региональной энергетической ком</w:t>
      </w:r>
      <w:r w:rsidR="00F142C4" w:rsidRPr="001D764B">
        <w:rPr>
          <w:szCs w:val="24"/>
        </w:rPr>
        <w:t>иссии Свердловской области от 2</w:t>
      </w:r>
      <w:r>
        <w:rPr>
          <w:szCs w:val="24"/>
        </w:rPr>
        <w:t>8.11</w:t>
      </w:r>
      <w:r w:rsidR="00F142C4" w:rsidRPr="001D764B">
        <w:rPr>
          <w:szCs w:val="24"/>
        </w:rPr>
        <w:t>.202</w:t>
      </w:r>
      <w:r>
        <w:rPr>
          <w:szCs w:val="24"/>
        </w:rPr>
        <w:t>2</w:t>
      </w:r>
      <w:r w:rsidR="00AF4432" w:rsidRPr="001D764B">
        <w:rPr>
          <w:szCs w:val="24"/>
        </w:rPr>
        <w:t xml:space="preserve"> г. № </w:t>
      </w:r>
      <w:r w:rsidR="00F142C4" w:rsidRPr="001D764B">
        <w:rPr>
          <w:szCs w:val="24"/>
        </w:rPr>
        <w:t>2</w:t>
      </w:r>
      <w:r>
        <w:rPr>
          <w:szCs w:val="24"/>
        </w:rPr>
        <w:t>34</w:t>
      </w:r>
      <w:r w:rsidR="008C4CB8" w:rsidRPr="001D764B">
        <w:rPr>
          <w:szCs w:val="24"/>
        </w:rPr>
        <w:t>-ПК «</w:t>
      </w:r>
      <w:r w:rsidR="007000D1" w:rsidRPr="007000D1">
        <w:rPr>
          <w:szCs w:val="24"/>
        </w:rPr>
        <w:t>Об установлении станд</w:t>
      </w:r>
      <w:r>
        <w:rPr>
          <w:szCs w:val="24"/>
        </w:rPr>
        <w:t xml:space="preserve">артизированных тарифных ставок </w:t>
      </w:r>
      <w:r w:rsidR="007000D1" w:rsidRPr="007000D1">
        <w:rPr>
          <w:szCs w:val="24"/>
        </w:rPr>
        <w:t>и формул платы за технологическое присоединение к электрическим сетям сетевых организаций на территории Свердловской области на 202</w:t>
      </w:r>
      <w:r>
        <w:rPr>
          <w:szCs w:val="24"/>
        </w:rPr>
        <w:t>3</w:t>
      </w:r>
      <w:r w:rsidR="007000D1" w:rsidRPr="007000D1">
        <w:rPr>
          <w:szCs w:val="24"/>
        </w:rPr>
        <w:t xml:space="preserve"> год</w:t>
      </w:r>
      <w:r w:rsidR="008C4CB8" w:rsidRPr="001D764B">
        <w:rPr>
          <w:szCs w:val="24"/>
        </w:rPr>
        <w:t>»</w:t>
      </w:r>
      <w:r w:rsidR="007B23B5" w:rsidRPr="001D764B">
        <w:rPr>
          <w:szCs w:val="24"/>
        </w:rPr>
        <w:t xml:space="preserve"> (текст постановления опубликован на официальном сайте региональной энергетической комиссии Свердловской области: </w:t>
      </w:r>
      <w:hyperlink r:id="rId7" w:history="1">
        <w:r w:rsidR="007B23B5" w:rsidRPr="001D764B">
          <w:rPr>
            <w:rStyle w:val="a4"/>
            <w:b w:val="0"/>
            <w:color w:val="auto"/>
            <w:szCs w:val="24"/>
          </w:rPr>
          <w:t>http://rek.midural.ru</w:t>
        </w:r>
      </w:hyperlink>
      <w:r w:rsidR="007B23B5" w:rsidRPr="001D764B">
        <w:rPr>
          <w:szCs w:val="24"/>
        </w:rPr>
        <w:t>)</w:t>
      </w:r>
      <w:r w:rsidR="008C4CB8" w:rsidRPr="001D764B">
        <w:rPr>
          <w:szCs w:val="24"/>
        </w:rPr>
        <w:t>.</w:t>
      </w:r>
    </w:p>
    <w:p w:rsidR="00F82CFB" w:rsidRDefault="00F82CFB" w:rsidP="00F82CFB">
      <w:pPr>
        <w:ind w:firstLine="567"/>
        <w:jc w:val="both"/>
        <w:rPr>
          <w:szCs w:val="24"/>
        </w:rPr>
      </w:pPr>
      <w:r>
        <w:rPr>
          <w:szCs w:val="24"/>
        </w:rPr>
        <w:t>-</w:t>
      </w:r>
      <w:r w:rsidRPr="00F82CFB">
        <w:rPr>
          <w:szCs w:val="24"/>
        </w:rPr>
        <w:t xml:space="preserve"> </w:t>
      </w:r>
      <w:r w:rsidRPr="001D764B">
        <w:rPr>
          <w:szCs w:val="24"/>
        </w:rPr>
        <w:t>Постановлением Региональной энергетической комиссии Свердловской области от 2</w:t>
      </w:r>
      <w:r>
        <w:rPr>
          <w:szCs w:val="24"/>
        </w:rPr>
        <w:t>8.12</w:t>
      </w:r>
      <w:r w:rsidRPr="001D764B">
        <w:rPr>
          <w:szCs w:val="24"/>
        </w:rPr>
        <w:t>.202</w:t>
      </w:r>
      <w:r>
        <w:rPr>
          <w:szCs w:val="24"/>
        </w:rPr>
        <w:t>2</w:t>
      </w:r>
      <w:r w:rsidRPr="001D764B">
        <w:rPr>
          <w:szCs w:val="24"/>
        </w:rPr>
        <w:t xml:space="preserve"> г. № 2</w:t>
      </w:r>
      <w:r>
        <w:rPr>
          <w:szCs w:val="24"/>
        </w:rPr>
        <w:t>62</w:t>
      </w:r>
      <w:r w:rsidRPr="001D764B">
        <w:rPr>
          <w:szCs w:val="24"/>
        </w:rPr>
        <w:t>-ПК «</w:t>
      </w:r>
      <w:r w:rsidRPr="007000D1">
        <w:rPr>
          <w:szCs w:val="24"/>
        </w:rPr>
        <w:t xml:space="preserve">Об установлении </w:t>
      </w:r>
      <w:r>
        <w:rPr>
          <w:szCs w:val="24"/>
        </w:rPr>
        <w:t>льготной ставки за 1 кВт запрашиваемой максимальной мощности</w:t>
      </w:r>
      <w:r w:rsidRPr="007000D1">
        <w:rPr>
          <w:szCs w:val="24"/>
        </w:rPr>
        <w:t xml:space="preserve"> за технологическое присоединение к электрическим сетям на территории Свердловской области на 202</w:t>
      </w:r>
      <w:r>
        <w:rPr>
          <w:szCs w:val="24"/>
        </w:rPr>
        <w:t>3</w:t>
      </w:r>
      <w:r w:rsidRPr="007000D1">
        <w:rPr>
          <w:szCs w:val="24"/>
        </w:rPr>
        <w:t xml:space="preserve"> год</w:t>
      </w:r>
      <w:r w:rsidRPr="001D764B">
        <w:rPr>
          <w:szCs w:val="24"/>
        </w:rPr>
        <w:t xml:space="preserve">» (текст постановления опубликован на официальном сайте региональной энергетической комиссии Свердловской области: </w:t>
      </w:r>
      <w:hyperlink r:id="rId8" w:history="1">
        <w:r w:rsidRPr="001D764B">
          <w:rPr>
            <w:rStyle w:val="a4"/>
            <w:b w:val="0"/>
            <w:color w:val="auto"/>
            <w:szCs w:val="24"/>
          </w:rPr>
          <w:t>http://rek.midural.ru</w:t>
        </w:r>
      </w:hyperlink>
      <w:r w:rsidRPr="001D764B">
        <w:rPr>
          <w:szCs w:val="24"/>
        </w:rPr>
        <w:t>).</w:t>
      </w:r>
    </w:p>
    <w:p w:rsidR="00F82CFB" w:rsidRDefault="00F82CFB" w:rsidP="007000D1">
      <w:pPr>
        <w:ind w:firstLine="567"/>
        <w:jc w:val="both"/>
        <w:rPr>
          <w:szCs w:val="24"/>
        </w:rPr>
      </w:pPr>
    </w:p>
    <w:p w:rsidR="00034E43" w:rsidRDefault="00034E43" w:rsidP="007000D1">
      <w:pPr>
        <w:widowControl w:val="0"/>
        <w:autoSpaceDE w:val="0"/>
        <w:autoSpaceDN w:val="0"/>
        <w:adjustRightInd w:val="0"/>
        <w:rPr>
          <w:rFonts w:ascii="Liberation Serif" w:eastAsia="Calibri" w:hAnsi="Liberation Serif" w:cs="Liberation Serif"/>
          <w:szCs w:val="24"/>
          <w:lang w:eastAsia="en-US"/>
        </w:rPr>
      </w:pPr>
    </w:p>
    <w:p w:rsidR="005746BE" w:rsidRPr="005746BE" w:rsidRDefault="005746BE" w:rsidP="005746BE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Cs w:val="24"/>
          <w:lang w:eastAsia="en-US"/>
        </w:rPr>
      </w:pPr>
    </w:p>
    <w:p w:rsidR="007000D1" w:rsidRPr="007000D1" w:rsidRDefault="007000D1" w:rsidP="007000D1">
      <w:pPr>
        <w:jc w:val="both"/>
        <w:rPr>
          <w:szCs w:val="24"/>
        </w:rPr>
      </w:pPr>
    </w:p>
    <w:sectPr w:rsidR="007000D1" w:rsidRPr="007000D1" w:rsidSect="0057215E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7C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1">
    <w:nsid w:val="05152097"/>
    <w:multiLevelType w:val="multilevel"/>
    <w:tmpl w:val="2F44AA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firstLine="0"/>
      </w:pPr>
      <w:rPr>
        <w:rFonts w:hint="default"/>
      </w:rPr>
    </w:lvl>
  </w:abstractNum>
  <w:abstractNum w:abstractNumId="2">
    <w:nsid w:val="289D38B9"/>
    <w:multiLevelType w:val="hybridMultilevel"/>
    <w:tmpl w:val="ACB88DB2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F96041C"/>
    <w:multiLevelType w:val="multilevel"/>
    <w:tmpl w:val="2F44AA7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firstLine="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1DF4"/>
    <w:rsid w:val="0000556D"/>
    <w:rsid w:val="000062BA"/>
    <w:rsid w:val="00007B02"/>
    <w:rsid w:val="00012FDB"/>
    <w:rsid w:val="00017A52"/>
    <w:rsid w:val="00025D90"/>
    <w:rsid w:val="000261EC"/>
    <w:rsid w:val="00026FAC"/>
    <w:rsid w:val="0003424A"/>
    <w:rsid w:val="00034E43"/>
    <w:rsid w:val="000469CF"/>
    <w:rsid w:val="00052E50"/>
    <w:rsid w:val="00056FCE"/>
    <w:rsid w:val="00057BF6"/>
    <w:rsid w:val="00061FD5"/>
    <w:rsid w:val="00062244"/>
    <w:rsid w:val="000678B9"/>
    <w:rsid w:val="00071CA3"/>
    <w:rsid w:val="00071D7D"/>
    <w:rsid w:val="0008378D"/>
    <w:rsid w:val="00096C4B"/>
    <w:rsid w:val="000A0345"/>
    <w:rsid w:val="000A30C6"/>
    <w:rsid w:val="000A53EB"/>
    <w:rsid w:val="000B0218"/>
    <w:rsid w:val="000C0765"/>
    <w:rsid w:val="000C1C4B"/>
    <w:rsid w:val="000C213F"/>
    <w:rsid w:val="000C394A"/>
    <w:rsid w:val="000C44AE"/>
    <w:rsid w:val="000D5A5F"/>
    <w:rsid w:val="000D5FEB"/>
    <w:rsid w:val="000D6750"/>
    <w:rsid w:val="000E1382"/>
    <w:rsid w:val="000E4328"/>
    <w:rsid w:val="000F0199"/>
    <w:rsid w:val="000F5427"/>
    <w:rsid w:val="0010452D"/>
    <w:rsid w:val="00114F2E"/>
    <w:rsid w:val="001334B0"/>
    <w:rsid w:val="00146ACF"/>
    <w:rsid w:val="00147756"/>
    <w:rsid w:val="00161117"/>
    <w:rsid w:val="00192DFF"/>
    <w:rsid w:val="00193BD3"/>
    <w:rsid w:val="001A116C"/>
    <w:rsid w:val="001A6597"/>
    <w:rsid w:val="001A7197"/>
    <w:rsid w:val="001A7BDD"/>
    <w:rsid w:val="001D0A6B"/>
    <w:rsid w:val="001D764B"/>
    <w:rsid w:val="001E187B"/>
    <w:rsid w:val="001E21C7"/>
    <w:rsid w:val="001E35CF"/>
    <w:rsid w:val="001F2FF2"/>
    <w:rsid w:val="002052BB"/>
    <w:rsid w:val="00211171"/>
    <w:rsid w:val="00224FBC"/>
    <w:rsid w:val="00234A1F"/>
    <w:rsid w:val="002354D1"/>
    <w:rsid w:val="00243A19"/>
    <w:rsid w:val="00250E58"/>
    <w:rsid w:val="0025459A"/>
    <w:rsid w:val="00260656"/>
    <w:rsid w:val="00267270"/>
    <w:rsid w:val="00270A70"/>
    <w:rsid w:val="00273982"/>
    <w:rsid w:val="00276FAB"/>
    <w:rsid w:val="0028558B"/>
    <w:rsid w:val="00287567"/>
    <w:rsid w:val="002A3C66"/>
    <w:rsid w:val="002A41F4"/>
    <w:rsid w:val="002A5112"/>
    <w:rsid w:val="002B2F7E"/>
    <w:rsid w:val="002B5FC8"/>
    <w:rsid w:val="002B7651"/>
    <w:rsid w:val="002B7A7B"/>
    <w:rsid w:val="002C5521"/>
    <w:rsid w:val="002D7FF4"/>
    <w:rsid w:val="002E0EB8"/>
    <w:rsid w:val="002E3D23"/>
    <w:rsid w:val="0030400D"/>
    <w:rsid w:val="00304436"/>
    <w:rsid w:val="00313C5C"/>
    <w:rsid w:val="0032398A"/>
    <w:rsid w:val="00325719"/>
    <w:rsid w:val="00335287"/>
    <w:rsid w:val="00340D05"/>
    <w:rsid w:val="003554A7"/>
    <w:rsid w:val="00361D83"/>
    <w:rsid w:val="00366926"/>
    <w:rsid w:val="00366A13"/>
    <w:rsid w:val="00367D3F"/>
    <w:rsid w:val="0037535E"/>
    <w:rsid w:val="003870E0"/>
    <w:rsid w:val="00387BBD"/>
    <w:rsid w:val="00391A94"/>
    <w:rsid w:val="00397AC4"/>
    <w:rsid w:val="003A186F"/>
    <w:rsid w:val="003A3AFA"/>
    <w:rsid w:val="003A418C"/>
    <w:rsid w:val="003B34DB"/>
    <w:rsid w:val="003B749C"/>
    <w:rsid w:val="003C3879"/>
    <w:rsid w:val="003D1352"/>
    <w:rsid w:val="003D3B6E"/>
    <w:rsid w:val="003E5D21"/>
    <w:rsid w:val="003F1DDE"/>
    <w:rsid w:val="003F3CDB"/>
    <w:rsid w:val="00403A3E"/>
    <w:rsid w:val="00406E2A"/>
    <w:rsid w:val="00411A73"/>
    <w:rsid w:val="0042095C"/>
    <w:rsid w:val="00423141"/>
    <w:rsid w:val="0043184B"/>
    <w:rsid w:val="004404BB"/>
    <w:rsid w:val="00450405"/>
    <w:rsid w:val="0046244C"/>
    <w:rsid w:val="00476A0E"/>
    <w:rsid w:val="00480D7A"/>
    <w:rsid w:val="00482762"/>
    <w:rsid w:val="0048563A"/>
    <w:rsid w:val="004A0790"/>
    <w:rsid w:val="004A5FB9"/>
    <w:rsid w:val="004B3B74"/>
    <w:rsid w:val="004B4E07"/>
    <w:rsid w:val="004C1B8F"/>
    <w:rsid w:val="004C7FC5"/>
    <w:rsid w:val="004E6E64"/>
    <w:rsid w:val="004F161F"/>
    <w:rsid w:val="00506232"/>
    <w:rsid w:val="00507F10"/>
    <w:rsid w:val="00511DC9"/>
    <w:rsid w:val="00517E79"/>
    <w:rsid w:val="0052239A"/>
    <w:rsid w:val="00522EFB"/>
    <w:rsid w:val="0053004A"/>
    <w:rsid w:val="005346F0"/>
    <w:rsid w:val="00535772"/>
    <w:rsid w:val="00560219"/>
    <w:rsid w:val="005659AE"/>
    <w:rsid w:val="00570CA1"/>
    <w:rsid w:val="0057215E"/>
    <w:rsid w:val="005746BE"/>
    <w:rsid w:val="00583BAC"/>
    <w:rsid w:val="00596CAF"/>
    <w:rsid w:val="00596EB6"/>
    <w:rsid w:val="005A0261"/>
    <w:rsid w:val="005A17F3"/>
    <w:rsid w:val="005C09E6"/>
    <w:rsid w:val="005E17D8"/>
    <w:rsid w:val="005E4F1F"/>
    <w:rsid w:val="005F6165"/>
    <w:rsid w:val="006069F4"/>
    <w:rsid w:val="006130B8"/>
    <w:rsid w:val="006130E0"/>
    <w:rsid w:val="0061382A"/>
    <w:rsid w:val="00631185"/>
    <w:rsid w:val="00646289"/>
    <w:rsid w:val="0065013F"/>
    <w:rsid w:val="00666A80"/>
    <w:rsid w:val="006806AB"/>
    <w:rsid w:val="0068625E"/>
    <w:rsid w:val="006869F9"/>
    <w:rsid w:val="0069356C"/>
    <w:rsid w:val="006968BA"/>
    <w:rsid w:val="006A6D31"/>
    <w:rsid w:val="006B1A27"/>
    <w:rsid w:val="006B78BE"/>
    <w:rsid w:val="006C13A1"/>
    <w:rsid w:val="006D6037"/>
    <w:rsid w:val="006E11C4"/>
    <w:rsid w:val="006E2412"/>
    <w:rsid w:val="006E7277"/>
    <w:rsid w:val="006E7424"/>
    <w:rsid w:val="006F604B"/>
    <w:rsid w:val="007000D1"/>
    <w:rsid w:val="007062CA"/>
    <w:rsid w:val="00706806"/>
    <w:rsid w:val="007119C0"/>
    <w:rsid w:val="007143D3"/>
    <w:rsid w:val="007165C3"/>
    <w:rsid w:val="007335A2"/>
    <w:rsid w:val="007467ED"/>
    <w:rsid w:val="0075555B"/>
    <w:rsid w:val="00765287"/>
    <w:rsid w:val="00770760"/>
    <w:rsid w:val="00794B1D"/>
    <w:rsid w:val="007B23B5"/>
    <w:rsid w:val="007B3DDD"/>
    <w:rsid w:val="007E113B"/>
    <w:rsid w:val="007E19EE"/>
    <w:rsid w:val="00806D54"/>
    <w:rsid w:val="00810FF1"/>
    <w:rsid w:val="00811968"/>
    <w:rsid w:val="00812B79"/>
    <w:rsid w:val="00815AB1"/>
    <w:rsid w:val="00816ADF"/>
    <w:rsid w:val="00820EF8"/>
    <w:rsid w:val="00823966"/>
    <w:rsid w:val="0082412E"/>
    <w:rsid w:val="00826C11"/>
    <w:rsid w:val="008364E0"/>
    <w:rsid w:val="00836500"/>
    <w:rsid w:val="008378C5"/>
    <w:rsid w:val="00840E8C"/>
    <w:rsid w:val="00853E2A"/>
    <w:rsid w:val="008603E7"/>
    <w:rsid w:val="00861454"/>
    <w:rsid w:val="00871765"/>
    <w:rsid w:val="008752D8"/>
    <w:rsid w:val="00881CC3"/>
    <w:rsid w:val="00885715"/>
    <w:rsid w:val="0088791E"/>
    <w:rsid w:val="008A18B4"/>
    <w:rsid w:val="008C1F03"/>
    <w:rsid w:val="008C4CB8"/>
    <w:rsid w:val="008C64D6"/>
    <w:rsid w:val="008C6F42"/>
    <w:rsid w:val="008D4489"/>
    <w:rsid w:val="008E3B44"/>
    <w:rsid w:val="008F5180"/>
    <w:rsid w:val="008F532F"/>
    <w:rsid w:val="00900956"/>
    <w:rsid w:val="00926153"/>
    <w:rsid w:val="00926225"/>
    <w:rsid w:val="0093010E"/>
    <w:rsid w:val="00936AE9"/>
    <w:rsid w:val="00951B0E"/>
    <w:rsid w:val="009703C2"/>
    <w:rsid w:val="00980EB0"/>
    <w:rsid w:val="009838CF"/>
    <w:rsid w:val="009838D8"/>
    <w:rsid w:val="00985ABF"/>
    <w:rsid w:val="0098604E"/>
    <w:rsid w:val="00990C51"/>
    <w:rsid w:val="00992659"/>
    <w:rsid w:val="009A077B"/>
    <w:rsid w:val="009A0E2D"/>
    <w:rsid w:val="009A58B8"/>
    <w:rsid w:val="009A5E58"/>
    <w:rsid w:val="009A7B77"/>
    <w:rsid w:val="009B0838"/>
    <w:rsid w:val="009B2262"/>
    <w:rsid w:val="009C4ABA"/>
    <w:rsid w:val="009C4B84"/>
    <w:rsid w:val="009D4CA0"/>
    <w:rsid w:val="009E06BF"/>
    <w:rsid w:val="009E25DE"/>
    <w:rsid w:val="009E75B6"/>
    <w:rsid w:val="009F413D"/>
    <w:rsid w:val="00A038B4"/>
    <w:rsid w:val="00A06FEB"/>
    <w:rsid w:val="00A10D2F"/>
    <w:rsid w:val="00A11917"/>
    <w:rsid w:val="00A139A2"/>
    <w:rsid w:val="00A2564A"/>
    <w:rsid w:val="00A33FE1"/>
    <w:rsid w:val="00A502D3"/>
    <w:rsid w:val="00A56116"/>
    <w:rsid w:val="00A56E56"/>
    <w:rsid w:val="00A60F36"/>
    <w:rsid w:val="00A61DF4"/>
    <w:rsid w:val="00A828CE"/>
    <w:rsid w:val="00A83FC8"/>
    <w:rsid w:val="00A87B02"/>
    <w:rsid w:val="00A90EAD"/>
    <w:rsid w:val="00AA0210"/>
    <w:rsid w:val="00AB405F"/>
    <w:rsid w:val="00AC2C00"/>
    <w:rsid w:val="00AC4CAC"/>
    <w:rsid w:val="00AE15AB"/>
    <w:rsid w:val="00AE7518"/>
    <w:rsid w:val="00AE77BA"/>
    <w:rsid w:val="00AF2658"/>
    <w:rsid w:val="00AF2E98"/>
    <w:rsid w:val="00AF3AB4"/>
    <w:rsid w:val="00AF4432"/>
    <w:rsid w:val="00AF4A58"/>
    <w:rsid w:val="00AF53F9"/>
    <w:rsid w:val="00AF6821"/>
    <w:rsid w:val="00B11ED5"/>
    <w:rsid w:val="00B143A9"/>
    <w:rsid w:val="00B14628"/>
    <w:rsid w:val="00B155D4"/>
    <w:rsid w:val="00B1591A"/>
    <w:rsid w:val="00B15C54"/>
    <w:rsid w:val="00B17B5D"/>
    <w:rsid w:val="00B21FCE"/>
    <w:rsid w:val="00B24D64"/>
    <w:rsid w:val="00B400F1"/>
    <w:rsid w:val="00B42BD3"/>
    <w:rsid w:val="00B42E8B"/>
    <w:rsid w:val="00B431E4"/>
    <w:rsid w:val="00B44C31"/>
    <w:rsid w:val="00B50586"/>
    <w:rsid w:val="00B52A98"/>
    <w:rsid w:val="00B55BB6"/>
    <w:rsid w:val="00B62F1A"/>
    <w:rsid w:val="00B71FC7"/>
    <w:rsid w:val="00B73BA5"/>
    <w:rsid w:val="00B809FA"/>
    <w:rsid w:val="00B83614"/>
    <w:rsid w:val="00B84961"/>
    <w:rsid w:val="00B91300"/>
    <w:rsid w:val="00B9215E"/>
    <w:rsid w:val="00B93185"/>
    <w:rsid w:val="00BB2715"/>
    <w:rsid w:val="00BB7BB0"/>
    <w:rsid w:val="00BC1DD5"/>
    <w:rsid w:val="00BC64E9"/>
    <w:rsid w:val="00BC7740"/>
    <w:rsid w:val="00BD3BAF"/>
    <w:rsid w:val="00BD7DC6"/>
    <w:rsid w:val="00BE7FE6"/>
    <w:rsid w:val="00BF2444"/>
    <w:rsid w:val="00BF4C82"/>
    <w:rsid w:val="00BF731A"/>
    <w:rsid w:val="00C0197B"/>
    <w:rsid w:val="00C1409D"/>
    <w:rsid w:val="00C235F6"/>
    <w:rsid w:val="00C300C0"/>
    <w:rsid w:val="00C356D1"/>
    <w:rsid w:val="00C50957"/>
    <w:rsid w:val="00C525C1"/>
    <w:rsid w:val="00C71B41"/>
    <w:rsid w:val="00C87A54"/>
    <w:rsid w:val="00CA4DB6"/>
    <w:rsid w:val="00CC2055"/>
    <w:rsid w:val="00CD14F1"/>
    <w:rsid w:val="00CD6EA8"/>
    <w:rsid w:val="00CE6830"/>
    <w:rsid w:val="00CE7C3E"/>
    <w:rsid w:val="00D0262C"/>
    <w:rsid w:val="00D17067"/>
    <w:rsid w:val="00D22353"/>
    <w:rsid w:val="00D3244F"/>
    <w:rsid w:val="00D32DCA"/>
    <w:rsid w:val="00D34859"/>
    <w:rsid w:val="00D3506B"/>
    <w:rsid w:val="00D35A82"/>
    <w:rsid w:val="00D46E94"/>
    <w:rsid w:val="00D51EFE"/>
    <w:rsid w:val="00D5394B"/>
    <w:rsid w:val="00D65618"/>
    <w:rsid w:val="00D742E2"/>
    <w:rsid w:val="00D763A3"/>
    <w:rsid w:val="00D80D24"/>
    <w:rsid w:val="00D94984"/>
    <w:rsid w:val="00DA11E8"/>
    <w:rsid w:val="00DA6EE9"/>
    <w:rsid w:val="00DB6A89"/>
    <w:rsid w:val="00DC009B"/>
    <w:rsid w:val="00DC4A74"/>
    <w:rsid w:val="00DD1743"/>
    <w:rsid w:val="00DD2461"/>
    <w:rsid w:val="00DE1195"/>
    <w:rsid w:val="00DE61ED"/>
    <w:rsid w:val="00DE6385"/>
    <w:rsid w:val="00E012F4"/>
    <w:rsid w:val="00E0154F"/>
    <w:rsid w:val="00E06C70"/>
    <w:rsid w:val="00E0784C"/>
    <w:rsid w:val="00E153DD"/>
    <w:rsid w:val="00E166B2"/>
    <w:rsid w:val="00E17E1B"/>
    <w:rsid w:val="00E25B22"/>
    <w:rsid w:val="00E306DB"/>
    <w:rsid w:val="00E31A2A"/>
    <w:rsid w:val="00E41212"/>
    <w:rsid w:val="00E50DCF"/>
    <w:rsid w:val="00E55411"/>
    <w:rsid w:val="00E6199B"/>
    <w:rsid w:val="00E619B3"/>
    <w:rsid w:val="00E7355D"/>
    <w:rsid w:val="00E76A90"/>
    <w:rsid w:val="00E879A4"/>
    <w:rsid w:val="00E879B5"/>
    <w:rsid w:val="00E9337B"/>
    <w:rsid w:val="00E9699A"/>
    <w:rsid w:val="00E97478"/>
    <w:rsid w:val="00E97F4E"/>
    <w:rsid w:val="00EA0B3E"/>
    <w:rsid w:val="00EA1AB2"/>
    <w:rsid w:val="00EA48C4"/>
    <w:rsid w:val="00EA562F"/>
    <w:rsid w:val="00EA75DF"/>
    <w:rsid w:val="00EB7E27"/>
    <w:rsid w:val="00EC4741"/>
    <w:rsid w:val="00EE2ED6"/>
    <w:rsid w:val="00EE40E7"/>
    <w:rsid w:val="00EE542A"/>
    <w:rsid w:val="00EE5D2D"/>
    <w:rsid w:val="00EF650F"/>
    <w:rsid w:val="00EF6A66"/>
    <w:rsid w:val="00F0588E"/>
    <w:rsid w:val="00F0617D"/>
    <w:rsid w:val="00F142C4"/>
    <w:rsid w:val="00F14919"/>
    <w:rsid w:val="00F21CFB"/>
    <w:rsid w:val="00F3128E"/>
    <w:rsid w:val="00F31C7F"/>
    <w:rsid w:val="00F433BC"/>
    <w:rsid w:val="00F55075"/>
    <w:rsid w:val="00F55089"/>
    <w:rsid w:val="00F552F5"/>
    <w:rsid w:val="00F65C4D"/>
    <w:rsid w:val="00F65F5F"/>
    <w:rsid w:val="00F7315C"/>
    <w:rsid w:val="00F807BC"/>
    <w:rsid w:val="00F80984"/>
    <w:rsid w:val="00F82CFB"/>
    <w:rsid w:val="00F832CA"/>
    <w:rsid w:val="00F9568D"/>
    <w:rsid w:val="00F95A3A"/>
    <w:rsid w:val="00F95F8B"/>
    <w:rsid w:val="00FA36F1"/>
    <w:rsid w:val="00FB2468"/>
    <w:rsid w:val="00FB7A0C"/>
    <w:rsid w:val="00FC1B09"/>
    <w:rsid w:val="00FD1542"/>
    <w:rsid w:val="00FD2686"/>
    <w:rsid w:val="00FD37C1"/>
    <w:rsid w:val="00FD39E6"/>
    <w:rsid w:val="00FD7F9E"/>
    <w:rsid w:val="00FE0042"/>
    <w:rsid w:val="00FE0799"/>
    <w:rsid w:val="00FE6230"/>
    <w:rsid w:val="00FF3FAF"/>
    <w:rsid w:val="00FF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DF4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8C4CB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Cs w:val="24"/>
    </w:rPr>
  </w:style>
  <w:style w:type="paragraph" w:styleId="3">
    <w:name w:val="heading 3"/>
    <w:basedOn w:val="a"/>
    <w:next w:val="a"/>
    <w:link w:val="30"/>
    <w:qFormat/>
    <w:rsid w:val="00E879B5"/>
    <w:pPr>
      <w:keepNext/>
      <w:jc w:val="both"/>
      <w:outlineLvl w:val="2"/>
    </w:pPr>
    <w:rPr>
      <w:sz w:val="28"/>
    </w:rPr>
  </w:style>
  <w:style w:type="paragraph" w:styleId="7">
    <w:name w:val="heading 7"/>
    <w:basedOn w:val="a"/>
    <w:next w:val="a"/>
    <w:link w:val="70"/>
    <w:qFormat/>
    <w:rsid w:val="00E879B5"/>
    <w:pPr>
      <w:keepNext/>
      <w:jc w:val="both"/>
      <w:outlineLvl w:val="6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D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3">
    <w:name w:val="Цветовое выделение"/>
    <w:uiPriority w:val="99"/>
    <w:rsid w:val="0057215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7215E"/>
    <w:rPr>
      <w:b/>
      <w:bCs/>
      <w:color w:val="106BBE"/>
    </w:rPr>
  </w:style>
  <w:style w:type="paragraph" w:customStyle="1" w:styleId="a5">
    <w:name w:val="Прижатый влево"/>
    <w:basedOn w:val="a"/>
    <w:next w:val="a"/>
    <w:uiPriority w:val="99"/>
    <w:rsid w:val="0057215E"/>
    <w:pPr>
      <w:autoSpaceDE w:val="0"/>
      <w:autoSpaceDN w:val="0"/>
      <w:adjustRightInd w:val="0"/>
    </w:pPr>
    <w:rPr>
      <w:rFonts w:ascii="Arial" w:eastAsia="Calibri" w:hAnsi="Arial" w:cs="Arial"/>
      <w:szCs w:val="24"/>
    </w:rPr>
  </w:style>
  <w:style w:type="paragraph" w:styleId="a6">
    <w:name w:val="Body Text Indent"/>
    <w:basedOn w:val="a"/>
    <w:link w:val="a7"/>
    <w:rsid w:val="00992659"/>
    <w:pPr>
      <w:tabs>
        <w:tab w:val="left" w:pos="993"/>
      </w:tabs>
      <w:ind w:firstLine="567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92659"/>
    <w:rPr>
      <w:rFonts w:ascii="Times New Roman" w:eastAsia="Times New Roman" w:hAnsi="Times New Roman"/>
      <w:sz w:val="28"/>
    </w:rPr>
  </w:style>
  <w:style w:type="paragraph" w:customStyle="1" w:styleId="a8">
    <w:name w:val="Нормальный (таблица)"/>
    <w:basedOn w:val="a"/>
    <w:next w:val="a"/>
    <w:uiPriority w:val="99"/>
    <w:rsid w:val="008C4CB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4C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CB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C4CB8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rsid w:val="00E879B5"/>
    <w:rPr>
      <w:rFonts w:ascii="Times New Roman" w:eastAsia="Times New Roman" w:hAnsi="Times New Roman"/>
      <w:sz w:val="28"/>
    </w:rPr>
  </w:style>
  <w:style w:type="character" w:customStyle="1" w:styleId="70">
    <w:name w:val="Заголовок 7 Знак"/>
    <w:basedOn w:val="a0"/>
    <w:link w:val="7"/>
    <w:rsid w:val="00E879B5"/>
    <w:rPr>
      <w:rFonts w:ascii="Times New Roman" w:eastAsia="Times New Roman" w:hAnsi="Times New Roman"/>
      <w:b/>
      <w:sz w:val="24"/>
    </w:rPr>
  </w:style>
  <w:style w:type="paragraph" w:styleId="2">
    <w:name w:val="Body Text 2"/>
    <w:basedOn w:val="a"/>
    <w:link w:val="20"/>
    <w:rsid w:val="00E879B5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E879B5"/>
    <w:rPr>
      <w:rFonts w:ascii="Times New Roman" w:eastAsia="Times New Roman" w:hAnsi="Times New Roman"/>
      <w:sz w:val="28"/>
    </w:rPr>
  </w:style>
  <w:style w:type="paragraph" w:styleId="ab">
    <w:name w:val="header"/>
    <w:basedOn w:val="a"/>
    <w:link w:val="ac"/>
    <w:uiPriority w:val="99"/>
    <w:rsid w:val="00E879B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879B5"/>
    <w:rPr>
      <w:rFonts w:ascii="Times New Roman" w:eastAsia="Times New Roman" w:hAnsi="Times New Roman"/>
      <w:sz w:val="24"/>
    </w:rPr>
  </w:style>
  <w:style w:type="character" w:styleId="ad">
    <w:name w:val="page number"/>
    <w:basedOn w:val="a0"/>
    <w:rsid w:val="00E879B5"/>
  </w:style>
  <w:style w:type="table" w:styleId="ae">
    <w:name w:val="Table Grid"/>
    <w:basedOn w:val="a1"/>
    <w:rsid w:val="00E879B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879B5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E879B5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E879B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styleId="af0">
    <w:name w:val="footer"/>
    <w:basedOn w:val="a"/>
    <w:link w:val="af1"/>
    <w:uiPriority w:val="99"/>
    <w:rsid w:val="00E879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879B5"/>
    <w:rPr>
      <w:rFonts w:ascii="Times New Roman" w:eastAsia="Times New Roman" w:hAnsi="Times New Roman"/>
      <w:sz w:val="24"/>
    </w:rPr>
  </w:style>
  <w:style w:type="paragraph" w:customStyle="1" w:styleId="af2">
    <w:name w:val="Знак Знак Знак Знак"/>
    <w:basedOn w:val="a"/>
    <w:rsid w:val="00E879B5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numbering" w:customStyle="1" w:styleId="11">
    <w:name w:val="Нет списка1"/>
    <w:next w:val="a2"/>
    <w:uiPriority w:val="99"/>
    <w:semiHidden/>
    <w:unhideWhenUsed/>
    <w:rsid w:val="00E879B5"/>
  </w:style>
  <w:style w:type="paragraph" w:customStyle="1" w:styleId="af3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61D83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f4">
    <w:name w:val="Знак Знак Знак Знак"/>
    <w:basedOn w:val="a"/>
    <w:rsid w:val="00361D83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numbering" w:customStyle="1" w:styleId="21">
    <w:name w:val="Нет списка2"/>
    <w:next w:val="a2"/>
    <w:uiPriority w:val="99"/>
    <w:semiHidden/>
    <w:unhideWhenUsed/>
    <w:rsid w:val="004A5FB9"/>
  </w:style>
  <w:style w:type="paragraph" w:customStyle="1" w:styleId="af5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7000D1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af6">
    <w:name w:val="Знак Знак Знак Знак"/>
    <w:basedOn w:val="a"/>
    <w:rsid w:val="007000D1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character" w:styleId="af7">
    <w:name w:val="Hyperlink"/>
    <w:uiPriority w:val="99"/>
    <w:unhideWhenUsed/>
    <w:rsid w:val="007000D1"/>
    <w:rPr>
      <w:color w:val="0000FF"/>
      <w:u w:val="single"/>
    </w:rPr>
  </w:style>
  <w:style w:type="character" w:styleId="af8">
    <w:name w:val="FollowedHyperlink"/>
    <w:uiPriority w:val="99"/>
    <w:unhideWhenUsed/>
    <w:rsid w:val="007000D1"/>
    <w:rPr>
      <w:color w:val="800080"/>
      <w:u w:val="single"/>
    </w:rPr>
  </w:style>
  <w:style w:type="paragraph" w:customStyle="1" w:styleId="font5">
    <w:name w:val="font5"/>
    <w:basedOn w:val="a"/>
    <w:rsid w:val="007000D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"/>
    <w:rsid w:val="007000D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7000D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7000D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xl67">
    <w:name w:val="xl67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 w:cs="Liberation Serif"/>
      <w:szCs w:val="24"/>
    </w:rPr>
  </w:style>
  <w:style w:type="paragraph" w:customStyle="1" w:styleId="xl68">
    <w:name w:val="xl68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69">
    <w:name w:val="xl69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0">
    <w:name w:val="xl70"/>
    <w:basedOn w:val="a"/>
    <w:rsid w:val="007000D1"/>
    <w:pP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1">
    <w:name w:val="xl71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xl72">
    <w:name w:val="xl72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3">
    <w:name w:val="xl73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4">
    <w:name w:val="xl74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5">
    <w:name w:val="xl75"/>
    <w:basedOn w:val="a"/>
    <w:rsid w:val="007000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6">
    <w:name w:val="xl76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7">
    <w:name w:val="xl77"/>
    <w:basedOn w:val="a"/>
    <w:rsid w:val="007000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8">
    <w:name w:val="xl78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79">
    <w:name w:val="xl79"/>
    <w:basedOn w:val="a"/>
    <w:rsid w:val="007000D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80">
    <w:name w:val="xl80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81">
    <w:name w:val="xl81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 w:cs="Liberation Serif"/>
      <w:color w:val="000000"/>
      <w:szCs w:val="24"/>
    </w:rPr>
  </w:style>
  <w:style w:type="paragraph" w:customStyle="1" w:styleId="xl82">
    <w:name w:val="xl82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 w:cs="Liberation Serif"/>
      <w:szCs w:val="24"/>
    </w:rPr>
  </w:style>
  <w:style w:type="paragraph" w:customStyle="1" w:styleId="xl83">
    <w:name w:val="xl83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84">
    <w:name w:val="xl84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85">
    <w:name w:val="xl85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86">
    <w:name w:val="xl86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 w:cs="Liberation Serif"/>
      <w:szCs w:val="24"/>
    </w:rPr>
  </w:style>
  <w:style w:type="paragraph" w:customStyle="1" w:styleId="xl87">
    <w:name w:val="xl87"/>
    <w:basedOn w:val="a"/>
    <w:rsid w:val="007000D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Cs w:val="24"/>
    </w:rPr>
  </w:style>
  <w:style w:type="paragraph" w:customStyle="1" w:styleId="xl88">
    <w:name w:val="xl88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xl89">
    <w:name w:val="xl89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xl90">
    <w:name w:val="xl90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xl91">
    <w:name w:val="xl91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Liberation Serif" w:hAnsi="Liberation Serif" w:cs="Liberation Serif"/>
      <w:sz w:val="28"/>
      <w:szCs w:val="28"/>
    </w:rPr>
  </w:style>
  <w:style w:type="paragraph" w:customStyle="1" w:styleId="xl92">
    <w:name w:val="xl92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xl93">
    <w:name w:val="xl93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xl94">
    <w:name w:val="xl94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xl95">
    <w:name w:val="xl95"/>
    <w:basedOn w:val="a"/>
    <w:rsid w:val="007000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ascii="Liberation Serif" w:hAnsi="Liberation Serif" w:cs="Liberation Serif"/>
      <w:sz w:val="28"/>
      <w:szCs w:val="28"/>
    </w:rPr>
  </w:style>
  <w:style w:type="paragraph" w:customStyle="1" w:styleId="12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7000D1"/>
    <w:pPr>
      <w:tabs>
        <w:tab w:val="num" w:pos="432"/>
      </w:tabs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223991.1363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9223991.136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9223991.13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B606F8-6393-47DA-A2EA-F96D6B447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vsmpo</Company>
  <LinksUpToDate>false</LinksUpToDate>
  <CharactersWithSpaces>4451</CharactersWithSpaces>
  <SharedDoc>false</SharedDoc>
  <HLinks>
    <vt:vector size="6" baseType="variant">
      <vt:variant>
        <vt:i4>4259870</vt:i4>
      </vt:variant>
      <vt:variant>
        <vt:i4>0</vt:i4>
      </vt:variant>
      <vt:variant>
        <vt:i4>0</vt:i4>
      </vt:variant>
      <vt:variant>
        <vt:i4>5</vt:i4>
      </vt:variant>
      <vt:variant>
        <vt:lpwstr>garantf1://9223991.1363/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user_3571</dc:creator>
  <cp:lastModifiedBy>user</cp:lastModifiedBy>
  <cp:revision>41</cp:revision>
  <dcterms:created xsi:type="dcterms:W3CDTF">2021-02-17T10:41:00Z</dcterms:created>
  <dcterms:modified xsi:type="dcterms:W3CDTF">2023-02-28T06:42:00Z</dcterms:modified>
</cp:coreProperties>
</file>