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72" w:rsidRPr="00326976" w:rsidRDefault="00D12B72" w:rsidP="00BC4763">
      <w:pPr>
        <w:pStyle w:val="ConsPlusTitle"/>
        <w:rPr>
          <w:b w:val="0"/>
        </w:rPr>
      </w:pPr>
    </w:p>
    <w:p w:rsidR="00E15368" w:rsidRDefault="00E15368">
      <w:pPr>
        <w:pStyle w:val="ConsPlusTitle"/>
        <w:jc w:val="center"/>
      </w:pPr>
      <w:r>
        <w:t>ДОГОВОР</w:t>
      </w:r>
    </w:p>
    <w:p w:rsidR="00E15368" w:rsidRDefault="00E15368">
      <w:pPr>
        <w:pStyle w:val="ConsPlusTitle"/>
        <w:jc w:val="center"/>
      </w:pPr>
      <w:r>
        <w:t>водоотведения</w:t>
      </w:r>
    </w:p>
    <w:p w:rsidR="00E15368" w:rsidRDefault="00E15368">
      <w:pPr>
        <w:pStyle w:val="ConsPlusNormal"/>
        <w:ind w:firstLine="540"/>
        <w:jc w:val="both"/>
      </w:pPr>
    </w:p>
    <w:p w:rsidR="00E15368" w:rsidRDefault="00E15368">
      <w:pPr>
        <w:pStyle w:val="ConsPlusNonformat"/>
        <w:jc w:val="both"/>
      </w:pPr>
      <w:r>
        <w:t>____________________________________                "__" 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(фамилия, имя, отчество, паспортные данные - в случае</w:t>
      </w:r>
    </w:p>
    <w:p w:rsidR="00E15368" w:rsidRDefault="00E15368">
      <w:pPr>
        <w:pStyle w:val="ConsPlusNonformat"/>
        <w:jc w:val="both"/>
      </w:pPr>
      <w:r>
        <w:t xml:space="preserve">                      заключения договора со стороны абонента физическим</w:t>
      </w:r>
    </w:p>
    <w:p w:rsidR="00E15368" w:rsidRDefault="00E15368">
      <w:pPr>
        <w:pStyle w:val="ConsPlusNonformat"/>
        <w:jc w:val="both"/>
      </w:pPr>
      <w:r>
        <w:t xml:space="preserve">                    лицом; наименование организации -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 фамилия,</w:t>
      </w:r>
    </w:p>
    <w:p w:rsidR="00E15368" w:rsidRDefault="00E15368">
      <w:pPr>
        <w:pStyle w:val="ConsPlusNonformat"/>
        <w:jc w:val="both"/>
      </w:pPr>
      <w:r>
        <w:t xml:space="preserve">                                             имя, отчество - в случае</w:t>
      </w:r>
    </w:p>
    <w:p w:rsidR="00E15368" w:rsidRDefault="00E15368">
      <w:pPr>
        <w:pStyle w:val="ConsPlusNonformat"/>
        <w:jc w:val="both"/>
      </w:pPr>
      <w:r>
        <w:t xml:space="preserve">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 в случае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jc w:val="both"/>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w:t>
      </w:r>
      <w:r w:rsidRPr="006D132E">
        <w:t xml:space="preserve">требования к составу и свойствам отводимых сточных вод, установленные законодательством Российской Федерации, </w:t>
      </w:r>
      <w:r>
        <w:t>нормативы по объему отводимых в централизованные системы водоотведения сточных вод (далее - нормативы по объему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 на канализационной сети)</w:t>
      </w:r>
    </w:p>
    <w:p w:rsidR="00E15368" w:rsidRDefault="00E15368">
      <w:pPr>
        <w:pStyle w:val="ConsPlusNormal"/>
        <w:ind w:firstLine="540"/>
        <w:jc w:val="both"/>
      </w:pPr>
    </w:p>
    <w:p w:rsidR="00E15368" w:rsidRDefault="00E15368">
      <w:pPr>
        <w:pStyle w:val="ConsPlusNormal"/>
        <w:jc w:val="center"/>
        <w:outlineLvl w:val="1"/>
      </w:pPr>
      <w:r>
        <w:t>II. Сроки и режим приема сточных вод</w:t>
      </w:r>
    </w:p>
    <w:p w:rsidR="00E15368" w:rsidRDefault="00E15368">
      <w:pPr>
        <w:pStyle w:val="ConsPlusNormal"/>
        <w:jc w:val="center"/>
      </w:pPr>
    </w:p>
    <w:p w:rsidR="00E15368" w:rsidRDefault="00E15368">
      <w:pPr>
        <w:pStyle w:val="ConsPlusNormal"/>
        <w:ind w:firstLine="540"/>
        <w:jc w:val="both"/>
      </w:pPr>
      <w:r>
        <w:t>4. Датой начала приема сточных вод является "__" ______________ 20__ г.</w:t>
      </w:r>
    </w:p>
    <w:p w:rsidR="00E15368" w:rsidRDefault="00E15368">
      <w:pPr>
        <w:pStyle w:val="ConsPlusNormal"/>
        <w:spacing w:before="220"/>
        <w:ind w:firstLine="540"/>
        <w:jc w:val="both"/>
      </w:pPr>
      <w:r>
        <w:lastRenderedPageBreak/>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r w:rsidR="00D12B72">
        <w:t>приложении N 2</w:t>
      </w:r>
      <w:r>
        <w:t>.</w:t>
      </w:r>
    </w:p>
    <w:p w:rsidR="00E15368" w:rsidRDefault="00E15368">
      <w:pPr>
        <w:pStyle w:val="ConsPlusNormal"/>
        <w:ind w:firstLine="540"/>
        <w:jc w:val="both"/>
      </w:pPr>
    </w:p>
    <w:p w:rsidR="00E15368" w:rsidRDefault="00E15368">
      <w:pPr>
        <w:pStyle w:val="ConsPlusNormal"/>
        <w:jc w:val="center"/>
        <w:outlineLvl w:val="1"/>
      </w:pPr>
      <w:r>
        <w:t>III. Тарифы, сроки и порядок оплаты</w:t>
      </w:r>
    </w:p>
    <w:p w:rsidR="00E15368" w:rsidRDefault="00E15368">
      <w:pPr>
        <w:pStyle w:val="ConsPlusNormal"/>
        <w:jc w:val="center"/>
      </w:pPr>
    </w:p>
    <w:p w:rsidR="00E15368" w:rsidRDefault="00E15368">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7E6EB8" w:rsidRPr="004A62D3" w:rsidRDefault="007E6EB8" w:rsidP="007E6EB8">
      <w:pPr>
        <w:pStyle w:val="ConsPlusNormal"/>
        <w:ind w:firstLine="540"/>
        <w:jc w:val="both"/>
      </w:pPr>
      <w:r w:rsidRPr="004A62D3">
        <w:t xml:space="preserve">Тариф на </w:t>
      </w:r>
      <w:r w:rsidR="00C012F6">
        <w:t>услугу водоотведения</w:t>
      </w:r>
      <w:r w:rsidRPr="004A62D3">
        <w:t>, установленный на дату заключения настоящего договора постановлением РЭК № ______ от ______, составляет - _____руб./куб.м.(без НДС)</w:t>
      </w:r>
    </w:p>
    <w:p w:rsidR="007E6EB8" w:rsidRPr="004A62D3" w:rsidRDefault="007E6EB8" w:rsidP="007E6EB8">
      <w:pPr>
        <w:pStyle w:val="ConsPlusNormal"/>
        <w:ind w:firstLine="540"/>
        <w:jc w:val="both"/>
      </w:pPr>
      <w:r w:rsidRPr="004A62D3">
        <w:t xml:space="preserve">Стоимость услуг </w:t>
      </w:r>
      <w:r w:rsidR="00C012F6">
        <w:t>водоотведения</w:t>
      </w:r>
      <w:r w:rsidRPr="004A62D3">
        <w:t xml:space="preserve"> в соответствии с настоящим договором на срок действия настоящего договора составляет_________, в том числе НДС_______________.</w:t>
      </w:r>
    </w:p>
    <w:p w:rsidR="007E6EB8" w:rsidRDefault="007E6EB8" w:rsidP="007E6EB8">
      <w:pPr>
        <w:pStyle w:val="ConsPlusNormal"/>
        <w:ind w:firstLine="540"/>
        <w:jc w:val="both"/>
      </w:pPr>
      <w:r w:rsidRPr="004A62D3">
        <w:t>Изменение стоимости услуг по договору согласовывается путем оформления дополнительного соглашения к договору.</w:t>
      </w:r>
    </w:p>
    <w:p w:rsidR="00E15368" w:rsidRDefault="00E15368">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E15368" w:rsidRDefault="007E6EB8" w:rsidP="00F012EB">
      <w:pPr>
        <w:pStyle w:val="ConsPlusNormal"/>
        <w:spacing w:before="220"/>
        <w:ind w:firstLine="540"/>
        <w:jc w:val="both"/>
      </w:pPr>
      <w:r w:rsidRPr="004A62D3">
        <w:t xml:space="preserve">- организация водопроводно-канализационного хозяйства выставляет абоненту счет-фактуру за </w:t>
      </w:r>
      <w:r w:rsidR="00C012F6">
        <w:t>водоотведение</w:t>
      </w:r>
      <w:r w:rsidRPr="004A62D3">
        <w:t>, оформленную в соответствии с требованиями ст. 169 НК РФ на олату фактически оказанных услуг, подтвержденную актом сдфчи-приемки оказанных услуг, не позднее 5-го числа месяца, следующего за расчетным.</w:t>
      </w:r>
    </w:p>
    <w:p w:rsidR="00E15368" w:rsidRDefault="00E15368">
      <w:pPr>
        <w:pStyle w:val="ConsPlusNormal"/>
        <w:spacing w:before="220"/>
        <w:ind w:firstLine="540"/>
        <w:jc w:val="both"/>
      </w:pPr>
      <w:r>
        <w:t>оплата за фактически оказанные услуги водоотведения в истекшем месяце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E15368" w:rsidRDefault="00E1536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E15368" w:rsidRDefault="00E15368">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15368" w:rsidRDefault="00E15368">
      <w:pPr>
        <w:pStyle w:val="ConsPlusNormal"/>
        <w:spacing w:before="220"/>
        <w:ind w:firstLine="540"/>
        <w:jc w:val="both"/>
      </w:pPr>
      <w:r>
        <w:t xml:space="preserve">9. Размер платы за негативное воздействие на работу централизованной системы </w:t>
      </w:r>
      <w:r>
        <w:lastRenderedPageBreak/>
        <w:t>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E15368" w:rsidRDefault="00E15368">
      <w:pPr>
        <w:pStyle w:val="ConsPlusNormal"/>
        <w:jc w:val="center"/>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E15368" w:rsidRDefault="00E15368">
      <w:pPr>
        <w:pStyle w:val="ConsPlusNormal"/>
        <w:spacing w:before="220"/>
        <w:ind w:firstLine="540"/>
        <w:jc w:val="both"/>
      </w:pPr>
      <w:r>
        <w:t>в) соблюдать установленный режим приема сточных вод;</w:t>
      </w:r>
    </w:p>
    <w:p w:rsidR="00E15368" w:rsidRDefault="00E15368">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E15368" w:rsidRDefault="00E15368">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E15368" w:rsidRDefault="00E15368">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6"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w:t>
      </w:r>
    </w:p>
    <w:p w:rsidR="00E15368" w:rsidRDefault="00E15368">
      <w:pPr>
        <w:pStyle w:val="ConsPlusNormal"/>
        <w:spacing w:before="220"/>
        <w:ind w:firstLine="540"/>
        <w:jc w:val="both"/>
      </w:pPr>
      <w:r>
        <w:lastRenderedPageBreak/>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E15368" w:rsidRDefault="00E15368">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E15368" w:rsidRDefault="00E15368">
      <w:pPr>
        <w:pStyle w:val="ConsPlusNormal"/>
        <w:spacing w:before="220"/>
        <w:ind w:firstLine="540"/>
        <w:jc w:val="both"/>
      </w:pPr>
      <w:r>
        <w:t xml:space="preserve">г) взимать с абонента плату за отведение сточных вод сверх установленных нормативов по объему сточных вод </w:t>
      </w:r>
    </w:p>
    <w:p w:rsidR="00E15368" w:rsidRDefault="00E15368">
      <w:pPr>
        <w:pStyle w:val="ConsPlusNormal"/>
        <w:spacing w:before="220"/>
        <w:ind w:firstLine="540"/>
        <w:jc w:val="both"/>
      </w:pPr>
      <w:r>
        <w:t>д)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7"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t>д) соблюдать установленный настоящим договором режим водоотведения;</w:t>
      </w:r>
    </w:p>
    <w:p w:rsidR="00E15368" w:rsidRDefault="00E15368">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также в случаях, установленных законодательством Российской Федерации, возмещать вред, причиненный водному объекту;</w:t>
      </w:r>
    </w:p>
    <w:p w:rsidR="00E15368" w:rsidRDefault="00E1536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w:t>
      </w:r>
      <w:r w:rsidR="00F012EB">
        <w:t>,</w:t>
      </w:r>
      <w:r>
        <w:t xml:space="preserve"> а также принимать меры по соблюдению указанных нормативов и требований;</w:t>
      </w:r>
    </w:p>
    <w:p w:rsidR="00E15368" w:rsidRDefault="00E15368">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w:t>
      </w:r>
      <w:r>
        <w:lastRenderedPageBreak/>
        <w:t>третьим лицам прав владения и пользования или пользования третьими лицами такими объектами, устройствами или сооружениями;</w:t>
      </w:r>
    </w:p>
    <w:p w:rsidR="00E15368" w:rsidRDefault="00E15368">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E15368" w:rsidRDefault="00E15368">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E15368" w:rsidRDefault="00E15368">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E15368" w:rsidRDefault="00E15368">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E15368" w:rsidRDefault="00E15368">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E15368" w:rsidRDefault="00E15368">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E15368" w:rsidRDefault="00E15368">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15368" w:rsidRDefault="00E15368">
      <w:pPr>
        <w:pStyle w:val="ConsPlusNormal"/>
        <w:spacing w:before="220"/>
        <w:ind w:firstLine="540"/>
        <w:jc w:val="both"/>
      </w:pPr>
      <w:r>
        <w:t xml:space="preserve">с) обеспечивать локальную очистку сточных вод в случаях, предусмотренных </w:t>
      </w:r>
      <w:hyperlink r:id="rId9"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t xml:space="preserve">т) в случаях, установленных </w:t>
      </w:r>
      <w:hyperlink r:id="rId10"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15368" w:rsidRDefault="00E15368" w:rsidP="00F012EB">
      <w:pPr>
        <w:pStyle w:val="ConsPlusNormal"/>
        <w:spacing w:before="220"/>
        <w:ind w:firstLine="540"/>
        <w:jc w:val="both"/>
      </w:pPr>
      <w:r>
        <w:t>13. Абонент имеет право:</w:t>
      </w:r>
    </w:p>
    <w:p w:rsidR="00E15368" w:rsidRDefault="00F012EB">
      <w:pPr>
        <w:pStyle w:val="ConsPlusNormal"/>
        <w:spacing w:before="220"/>
        <w:ind w:firstLine="540"/>
        <w:jc w:val="both"/>
      </w:pPr>
      <w:r>
        <w:t>а</w:t>
      </w:r>
      <w:r w:rsidR="00E15368">
        <w:t>) получать от организации водопроводно-канализационного хозяйства информацию об изменении установленных тарифов на водоотведение;</w:t>
      </w:r>
    </w:p>
    <w:p w:rsidR="00E15368" w:rsidRDefault="00F012EB">
      <w:pPr>
        <w:pStyle w:val="ConsPlusNonformat"/>
        <w:spacing w:before="200"/>
        <w:jc w:val="both"/>
      </w:pPr>
      <w:r>
        <w:t xml:space="preserve">    б</w:t>
      </w:r>
      <w:r w:rsidR="00E15368">
        <w:t>) привлекать третьих лиц для выполнения работ по устройству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 нет - указать нужное)</w:t>
      </w:r>
    </w:p>
    <w:p w:rsidR="00E15368" w:rsidRDefault="00F012EB" w:rsidP="00F012EB">
      <w:pPr>
        <w:pStyle w:val="ConsPlusNormal"/>
        <w:ind w:firstLine="540"/>
        <w:jc w:val="both"/>
      </w:pPr>
      <w:r>
        <w:t>в</w:t>
      </w:r>
      <w:r w:rsidR="00E15368">
        <w:t>) инициировать проведение сверки расчетов по настоящему договору</w:t>
      </w:r>
      <w:r>
        <w:t>.</w:t>
      </w:r>
    </w:p>
    <w:p w:rsidR="00E15368" w:rsidRDefault="00E15368">
      <w:pPr>
        <w:pStyle w:val="ConsPlusNormal"/>
        <w:jc w:val="center"/>
      </w:pPr>
    </w:p>
    <w:p w:rsidR="00E15368" w:rsidRDefault="00E15368">
      <w:pPr>
        <w:pStyle w:val="ConsPlusNormal"/>
        <w:jc w:val="center"/>
        <w:outlineLvl w:val="1"/>
      </w:pPr>
      <w:bookmarkStart w:id="0" w:name="P589"/>
      <w:bookmarkEnd w:id="0"/>
      <w:r>
        <w:t>V. Порядок осуществления учета принимаемых сточных</w:t>
      </w:r>
    </w:p>
    <w:p w:rsidR="00E15368" w:rsidRDefault="00E15368">
      <w:pPr>
        <w:pStyle w:val="ConsPlusNormal"/>
        <w:jc w:val="center"/>
      </w:pPr>
      <w:r>
        <w:t>вод, сроки и способы предоставления организации</w:t>
      </w:r>
    </w:p>
    <w:p w:rsidR="00E15368" w:rsidRDefault="00E15368">
      <w:pPr>
        <w:pStyle w:val="ConsPlusNormal"/>
        <w:jc w:val="center"/>
      </w:pPr>
      <w:r>
        <w:lastRenderedPageBreak/>
        <w:t>водопроводно-канализационного хозяйства показаний</w:t>
      </w:r>
    </w:p>
    <w:p w:rsidR="00E15368" w:rsidRDefault="00E15368">
      <w:pPr>
        <w:pStyle w:val="ConsPlusNormal"/>
        <w:jc w:val="center"/>
      </w:pPr>
      <w:r>
        <w:t>приборов учета</w:t>
      </w:r>
    </w:p>
    <w:p w:rsidR="00E15368" w:rsidRDefault="00E15368">
      <w:pPr>
        <w:pStyle w:val="ConsPlusNormal"/>
        <w:jc w:val="center"/>
      </w:pPr>
    </w:p>
    <w:p w:rsidR="00E15368" w:rsidRDefault="00E15368">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11"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15. Сведения об узлах учета и приборах учета сточных вод указываются по форме согласно </w:t>
      </w:r>
      <w:r w:rsidR="00D12B72">
        <w:t>приложению N 3</w:t>
      </w:r>
      <w:r>
        <w:t>.</w:t>
      </w:r>
    </w:p>
    <w:p w:rsidR="00E15368" w:rsidRDefault="00E15368">
      <w:pPr>
        <w:pStyle w:val="ConsPlusNonformat"/>
        <w:spacing w:before="200"/>
        <w:jc w:val="both"/>
      </w:pPr>
      <w:r>
        <w:t xml:space="preserve">    16.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r w:rsidR="00A90342">
        <w:t xml:space="preserve"> Расчетные величины водоотведения указываются по форме согласно приложению № 4.</w:t>
      </w:r>
    </w:p>
    <w:p w:rsidR="00E15368" w:rsidRDefault="00E15368">
      <w:pPr>
        <w:pStyle w:val="ConsPlusNonformat"/>
        <w:spacing w:before="200"/>
        <w:jc w:val="both"/>
      </w:pPr>
      <w:r>
        <w:t xml:space="preserve">    18.  В  случае отсутствия у абонента приборов учета сточных вод абонент</w:t>
      </w:r>
    </w:p>
    <w:p w:rsidR="00E15368" w:rsidRDefault="00E15368">
      <w:pPr>
        <w:pStyle w:val="ConsPlusNonformat"/>
        <w:jc w:val="both"/>
      </w:pPr>
      <w:r>
        <w:t>обязан до ___________________________________________ установить и ввести в</w:t>
      </w:r>
    </w:p>
    <w:p w:rsidR="00E15368" w:rsidRDefault="00E15368">
      <w:pPr>
        <w:pStyle w:val="ConsPlusNonformat"/>
        <w:jc w:val="both"/>
      </w:pPr>
      <w:r>
        <w:t xml:space="preserve">                       (указать дату)</w:t>
      </w:r>
    </w:p>
    <w:p w:rsidR="00E15368" w:rsidRDefault="00E15368">
      <w:pPr>
        <w:pStyle w:val="ConsPlusNonformat"/>
        <w:jc w:val="both"/>
      </w:pPr>
      <w:r>
        <w:t>эксплуатацию  приборы  учета  сточных   вод   (распространяется  только  на</w:t>
      </w:r>
    </w:p>
    <w:p w:rsidR="00E15368" w:rsidRDefault="00E15368">
      <w:pPr>
        <w:pStyle w:val="ConsPlusNonformat"/>
        <w:jc w:val="both"/>
      </w:pPr>
      <w:r>
        <w:t>категории  абонентов,  для  которых  установка  приборов  учета сточных вод</w:t>
      </w:r>
    </w:p>
    <w:p w:rsidR="00E15368" w:rsidRDefault="00E15368">
      <w:pPr>
        <w:pStyle w:val="ConsPlusNonformat"/>
        <w:jc w:val="both"/>
      </w:pPr>
      <w:r>
        <w:t>является   обязательной   в  соответствии  с  законодательством  Российской</w:t>
      </w:r>
    </w:p>
    <w:p w:rsidR="00E15368" w:rsidRDefault="00E15368">
      <w:pPr>
        <w:pStyle w:val="ConsPlusNonformat"/>
        <w:jc w:val="both"/>
      </w:pPr>
      <w:r>
        <w:t>Федерации).</w:t>
      </w:r>
    </w:p>
    <w:p w:rsidR="00E15368" w:rsidRDefault="00E15368">
      <w:pPr>
        <w:pStyle w:val="ConsPlusNonformat"/>
        <w:jc w:val="both"/>
      </w:pPr>
      <w:r>
        <w:t xml:space="preserve">    19.  Сторона,  осуществляющая  коммерческий  учет принятых (отведенных)</w:t>
      </w:r>
    </w:p>
    <w:p w:rsidR="00E15368" w:rsidRDefault="00E15368">
      <w:pPr>
        <w:pStyle w:val="ConsPlusNonformat"/>
        <w:jc w:val="both"/>
      </w:pPr>
      <w:r>
        <w:t>сточных вод, снимает показания приборов учета на последнее число расчетного</w:t>
      </w:r>
    </w:p>
    <w:p w:rsidR="00E15368" w:rsidRDefault="00E15368">
      <w:pPr>
        <w:pStyle w:val="ConsPlusNonformat"/>
        <w:jc w:val="both"/>
      </w:pPr>
      <w:r>
        <w:t>периода,  установленного  настоящим договором, либо осуществляет в случаях,</w:t>
      </w:r>
    </w:p>
    <w:p w:rsidR="00E15368" w:rsidRDefault="00E15368">
      <w:pPr>
        <w:pStyle w:val="ConsPlusNonformat"/>
        <w:jc w:val="both"/>
      </w:pPr>
      <w:r>
        <w:t xml:space="preserve">предусмотренных  </w:t>
      </w:r>
      <w:hyperlink r:id="rId13"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принятых (отведенных) сточных вод расчетным способом,</w:t>
      </w:r>
    </w:p>
    <w:p w:rsidR="00E15368" w:rsidRDefault="00E15368">
      <w:pPr>
        <w:pStyle w:val="ConsPlusNonformat"/>
        <w:jc w:val="both"/>
      </w:pPr>
      <w:r>
        <w:t>вносит  показания  приборов  учета  в  журнал  учета  принятых сточных вод,</w:t>
      </w:r>
    </w:p>
    <w:p w:rsidR="00E15368" w:rsidRDefault="00E15368">
      <w:pPr>
        <w:pStyle w:val="ConsPlusNonformat"/>
        <w:jc w:val="both"/>
      </w:pPr>
      <w:r>
        <w:t>передает эти сведения другой стороне не позднее 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outlineLvl w:val="1"/>
      </w:pPr>
      <w:bookmarkStart w:id="1" w:name="P617"/>
      <w:bookmarkEnd w:id="1"/>
      <w:r>
        <w:t>VI. Порядок обеспечения абонентом доступа организации</w:t>
      </w:r>
    </w:p>
    <w:p w:rsidR="00E15368" w:rsidRDefault="00E15368">
      <w:pPr>
        <w:pStyle w:val="ConsPlusNormal"/>
        <w:jc w:val="center"/>
      </w:pPr>
      <w:r>
        <w:t>водопроводно-канализационного хозяйства к канализационным</w:t>
      </w:r>
    </w:p>
    <w:p w:rsidR="00E15368" w:rsidRDefault="00E15368">
      <w:pPr>
        <w:pStyle w:val="ConsPlusNormal"/>
        <w:jc w:val="center"/>
      </w:pPr>
      <w:r>
        <w:t>сетям (контрольным канализационным колодцам) и приборам</w:t>
      </w:r>
    </w:p>
    <w:p w:rsidR="00E15368" w:rsidRDefault="00E15368">
      <w:pPr>
        <w:pStyle w:val="ConsPlusNormal"/>
        <w:jc w:val="center"/>
      </w:pPr>
      <w:r>
        <w:t>учета сточных вод в целях определения объема отводимых</w:t>
      </w:r>
    </w:p>
    <w:p w:rsidR="00E15368" w:rsidRDefault="00E15368">
      <w:pPr>
        <w:pStyle w:val="ConsPlusNormal"/>
        <w:jc w:val="center"/>
      </w:pPr>
      <w:r>
        <w:t>сточных вод, их состава и свойств</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E15368" w:rsidRDefault="00E1536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w:t>
      </w:r>
      <w:r w:rsidRPr="00F012EB">
        <w:rPr>
          <w:shd w:val="clear" w:color="auto" w:fill="FFFFFF" w:themeFill="background1"/>
        </w:rPr>
        <w:t>н</w:t>
      </w:r>
      <w:r w:rsidR="00F012EB" w:rsidRPr="00F012EB">
        <w:rPr>
          <w:shd w:val="clear" w:color="auto" w:fill="FFFFFF" w:themeFill="background1"/>
        </w:rPr>
        <w:t>е</w:t>
      </w:r>
      <w:r w:rsidR="00F012EB">
        <w:t xml:space="preserve"> позднее одного рабочего дня</w:t>
      </w:r>
      <w:r>
        <w:t xml:space="preserve">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lastRenderedPageBreak/>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E15368" w:rsidRDefault="00E15368">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4" w:history="1">
        <w:r>
          <w:rPr>
            <w:color w:val="0000FF"/>
          </w:rPr>
          <w:t>Правилами</w:t>
        </w:r>
      </w:hyperlink>
      <w:r>
        <w:t xml:space="preserve"> организации коммерческого учета воды, сточных вод;</w:t>
      </w:r>
    </w:p>
    <w:p w:rsidR="00E15368" w:rsidRDefault="00E15368">
      <w:pPr>
        <w:pStyle w:val="ConsPlusNormal"/>
        <w:jc w:val="center"/>
      </w:pPr>
    </w:p>
    <w:p w:rsidR="00E15368" w:rsidRDefault="00E15368">
      <w:pPr>
        <w:pStyle w:val="ConsPlusNormal"/>
        <w:ind w:firstLine="540"/>
        <w:jc w:val="both"/>
      </w:pPr>
    </w:p>
    <w:p w:rsidR="00E15368" w:rsidRDefault="00546F71">
      <w:pPr>
        <w:pStyle w:val="ConsPlusNormal"/>
        <w:jc w:val="center"/>
        <w:outlineLvl w:val="1"/>
      </w:pPr>
      <w:r>
        <w:rPr>
          <w:lang w:val="en-US"/>
        </w:rPr>
        <w:t>VII</w:t>
      </w:r>
      <w:r w:rsidR="00E15368">
        <w:t>. Условия прекращения или ограничения приема сточных вод</w:t>
      </w:r>
    </w:p>
    <w:p w:rsidR="00E15368" w:rsidRDefault="00E15368">
      <w:pPr>
        <w:pStyle w:val="ConsPlusNormal"/>
        <w:jc w:val="center"/>
      </w:pPr>
    </w:p>
    <w:p w:rsidR="00E15368" w:rsidRDefault="00546F71">
      <w:pPr>
        <w:pStyle w:val="ConsPlusNormal"/>
        <w:ind w:firstLine="540"/>
        <w:jc w:val="both"/>
      </w:pPr>
      <w:r>
        <w:t>2</w:t>
      </w:r>
      <w:r w:rsidRPr="00546F71">
        <w:t>2</w:t>
      </w:r>
      <w:r w:rsidR="00E15368">
        <w:t xml:space="preserve">.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15"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16" w:history="1">
        <w:r w:rsidR="00E15368">
          <w:rPr>
            <w:color w:val="0000FF"/>
          </w:rPr>
          <w:t>Правилами</w:t>
        </w:r>
      </w:hyperlink>
      <w:r w:rsidR="00E15368">
        <w:t xml:space="preserve"> холодного водоснабжения и водоотведения.</w:t>
      </w:r>
    </w:p>
    <w:p w:rsidR="00E15368" w:rsidRPr="00445F32" w:rsidRDefault="00546F71">
      <w:pPr>
        <w:pStyle w:val="ConsPlusNonformat"/>
        <w:spacing w:before="200"/>
        <w:jc w:val="both"/>
        <w:rPr>
          <w:rFonts w:asciiTheme="minorHAnsi" w:hAnsiTheme="minorHAnsi"/>
          <w:sz w:val="22"/>
          <w:szCs w:val="22"/>
        </w:rPr>
      </w:pPr>
      <w:r w:rsidRPr="00445F32">
        <w:rPr>
          <w:rFonts w:asciiTheme="minorHAnsi" w:hAnsiTheme="minorHAnsi"/>
          <w:sz w:val="22"/>
          <w:szCs w:val="22"/>
        </w:rPr>
        <w:t xml:space="preserve">    23</w:t>
      </w:r>
      <w:r w:rsidR="00E15368" w:rsidRPr="00445F32">
        <w:rPr>
          <w:rFonts w:asciiTheme="minorHAnsi" w:hAnsiTheme="minorHAnsi"/>
          <w:sz w:val="22"/>
          <w:szCs w:val="22"/>
        </w:rPr>
        <w:t>. Организация водопроводно-канализационного хозяйства в течение одних</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суток  со  дня  временного  прекращения  или ограничения приема сточных вод</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уведомляет о таком прекращении или ограничении:</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а) абонента;</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б) ___________________________________________________________________;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орган местного самоуправления поселения, городского округа)</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в) ___________________________________________________________________.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(указать территориальный орган федерального органа исполнительной</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власти, осуществляющего федеральный государственный</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санитарно-эпидемиологический надзор)</w:t>
      </w:r>
    </w:p>
    <w:p w:rsidR="00E15368" w:rsidRDefault="00546F71">
      <w:pPr>
        <w:pStyle w:val="ConsPlusNormal"/>
        <w:ind w:firstLine="540"/>
        <w:jc w:val="both"/>
      </w:pPr>
      <w:r w:rsidRPr="00546F71">
        <w:t>24</w:t>
      </w:r>
      <w:r w:rsidR="00E15368">
        <w:t>.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pPr>
    </w:p>
    <w:p w:rsidR="00DE5397" w:rsidRDefault="00DE5397">
      <w:pPr>
        <w:pStyle w:val="ConsPlusNormal"/>
        <w:jc w:val="center"/>
        <w:outlineLvl w:val="1"/>
      </w:pPr>
    </w:p>
    <w:p w:rsidR="00DE5397" w:rsidRDefault="00DE5397">
      <w:pPr>
        <w:pStyle w:val="ConsPlusNormal"/>
        <w:jc w:val="center"/>
        <w:outlineLvl w:val="1"/>
      </w:pPr>
    </w:p>
    <w:p w:rsidR="00E15368" w:rsidRDefault="00546F71">
      <w:pPr>
        <w:pStyle w:val="ConsPlusNormal"/>
        <w:jc w:val="center"/>
        <w:outlineLvl w:val="1"/>
      </w:pPr>
      <w:r>
        <w:rPr>
          <w:lang w:val="en-US"/>
        </w:rPr>
        <w:t>V</w:t>
      </w:r>
      <w:r w:rsidR="00E15368">
        <w:t>II</w:t>
      </w:r>
      <w:r>
        <w:rPr>
          <w:lang w:val="en-US"/>
        </w:rPr>
        <w:t>I</w:t>
      </w:r>
      <w:r w:rsidR="00E15368">
        <w:t>. Условия отведения (приема) сточных вод иных лиц,</w:t>
      </w:r>
    </w:p>
    <w:p w:rsidR="00E15368" w:rsidRDefault="00E15368">
      <w:pPr>
        <w:pStyle w:val="ConsPlusNormal"/>
        <w:jc w:val="center"/>
      </w:pPr>
      <w:r>
        <w:t>объекты которых подключены к канализационным сетям,</w:t>
      </w:r>
    </w:p>
    <w:p w:rsidR="00E15368" w:rsidRDefault="00E15368">
      <w:pPr>
        <w:pStyle w:val="ConsPlusNormal"/>
        <w:jc w:val="center"/>
      </w:pPr>
      <w:r>
        <w:t>принадлежащим абоненту</w:t>
      </w:r>
    </w:p>
    <w:p w:rsidR="00E15368" w:rsidRDefault="00E15368">
      <w:pPr>
        <w:pStyle w:val="ConsPlusNormal"/>
        <w:jc w:val="center"/>
      </w:pPr>
    </w:p>
    <w:p w:rsidR="00E15368" w:rsidRDefault="00546F71">
      <w:pPr>
        <w:pStyle w:val="ConsPlusNormal"/>
        <w:ind w:firstLine="540"/>
        <w:jc w:val="both"/>
      </w:pPr>
      <w:r w:rsidRPr="00546F71">
        <w:t>25</w:t>
      </w:r>
      <w:r w:rsidR="00E15368">
        <w:t xml:space="preserve">. Абонент представляет организации водопроводно-канализационного хозяйства </w:t>
      </w:r>
      <w:r w:rsidR="00E15368">
        <w:lastRenderedPageBreak/>
        <w:t>сведения о лицах, объекты которых подключены к канализационным сетям, принадлежащим абоненту.</w:t>
      </w:r>
    </w:p>
    <w:p w:rsidR="00E15368" w:rsidRDefault="00546F71">
      <w:pPr>
        <w:pStyle w:val="ConsPlusNormal"/>
        <w:spacing w:before="220"/>
        <w:ind w:firstLine="540"/>
        <w:jc w:val="both"/>
      </w:pPr>
      <w:r w:rsidRPr="00546F71">
        <w:t>26</w:t>
      </w:r>
      <w:r w:rsidR="00E15368">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E15368" w:rsidRDefault="00546F71">
      <w:pPr>
        <w:pStyle w:val="ConsPlusNormal"/>
        <w:spacing w:before="220"/>
        <w:ind w:firstLine="540"/>
        <w:jc w:val="both"/>
      </w:pPr>
      <w:r w:rsidRPr="00546F71">
        <w:t>27</w:t>
      </w:r>
      <w:r w:rsidR="00E15368">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E15368" w:rsidRDefault="00546F71">
      <w:pPr>
        <w:pStyle w:val="ConsPlusNormal"/>
        <w:spacing w:before="220"/>
        <w:ind w:firstLine="540"/>
        <w:jc w:val="both"/>
      </w:pPr>
      <w:r w:rsidRPr="00546F71">
        <w:t>28</w:t>
      </w:r>
      <w:r w:rsidR="00E15368">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pPr>
        <w:pStyle w:val="ConsPlusNormal"/>
        <w:jc w:val="center"/>
        <w:outlineLvl w:val="1"/>
      </w:pPr>
      <w:r>
        <w:t>XIII. Порядок урегулирования споров и разногласий</w:t>
      </w:r>
    </w:p>
    <w:p w:rsidR="00E15368" w:rsidRDefault="00E15368">
      <w:pPr>
        <w:pStyle w:val="ConsPlusNormal"/>
        <w:jc w:val="center"/>
      </w:pPr>
    </w:p>
    <w:p w:rsidR="00E15368" w:rsidRDefault="00546F71">
      <w:pPr>
        <w:pStyle w:val="ConsPlusNormal"/>
        <w:ind w:firstLine="540"/>
        <w:jc w:val="both"/>
      </w:pPr>
      <w:r w:rsidRPr="00546F71">
        <w:t>29</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546F71">
      <w:pPr>
        <w:pStyle w:val="ConsPlusNormal"/>
        <w:spacing w:before="220"/>
        <w:ind w:firstLine="540"/>
        <w:jc w:val="both"/>
      </w:pPr>
      <w:r w:rsidRPr="00546F71">
        <w:t>30</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546F71">
      <w:pPr>
        <w:pStyle w:val="ConsPlusNormal"/>
        <w:spacing w:before="220"/>
        <w:ind w:firstLine="540"/>
        <w:jc w:val="both"/>
      </w:pPr>
      <w:r w:rsidRPr="00546F71">
        <w:t>31</w:t>
      </w:r>
      <w:r w:rsidR="00E15368">
        <w:t>. Сторона, получившая претензию, в течение 5 рабочих дней со дня поступления претензии обязана ее рассмотреть и дать ответ.</w:t>
      </w:r>
    </w:p>
    <w:p w:rsidR="00E15368" w:rsidRDefault="00546F71">
      <w:pPr>
        <w:pStyle w:val="ConsPlusNormal"/>
        <w:spacing w:before="220"/>
        <w:ind w:firstLine="540"/>
        <w:jc w:val="both"/>
      </w:pPr>
      <w:r w:rsidRPr="00546F71">
        <w:t>32</w:t>
      </w:r>
      <w:r w:rsidR="00E15368">
        <w:t>. Стороны составляют акт об урегулировании спора или разногласий.</w:t>
      </w:r>
    </w:p>
    <w:p w:rsidR="00E15368" w:rsidRDefault="00546F71">
      <w:pPr>
        <w:pStyle w:val="ConsPlusNormal"/>
        <w:spacing w:before="220"/>
        <w:ind w:firstLine="540"/>
        <w:jc w:val="both"/>
      </w:pPr>
      <w:r w:rsidRPr="00546F71">
        <w:t>33</w:t>
      </w:r>
      <w:r w:rsidR="00E15368">
        <w:t>.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DE5397" w:rsidRDefault="00DE5397" w:rsidP="00F33D1D">
      <w:pPr>
        <w:pStyle w:val="ConsPlusNormal"/>
        <w:outlineLvl w:val="1"/>
      </w:pPr>
    </w:p>
    <w:p w:rsidR="00E15368" w:rsidRDefault="00E15368">
      <w:pPr>
        <w:pStyle w:val="ConsPlusNormal"/>
        <w:jc w:val="center"/>
        <w:outlineLvl w:val="1"/>
      </w:pPr>
      <w:r>
        <w:t>XIV. Ответственность сторон</w:t>
      </w:r>
    </w:p>
    <w:p w:rsidR="00E15368" w:rsidRDefault="00E15368">
      <w:pPr>
        <w:pStyle w:val="ConsPlusNormal"/>
        <w:jc w:val="center"/>
      </w:pPr>
    </w:p>
    <w:p w:rsidR="00E15368" w:rsidRDefault="00546F71">
      <w:pPr>
        <w:pStyle w:val="ConsPlusNormal"/>
        <w:ind w:firstLine="540"/>
        <w:jc w:val="both"/>
      </w:pPr>
      <w:r w:rsidRPr="00546F71">
        <w:t>34</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546F71">
      <w:pPr>
        <w:pStyle w:val="ConsPlusNormal"/>
        <w:spacing w:before="220"/>
        <w:ind w:firstLine="540"/>
        <w:jc w:val="both"/>
      </w:pPr>
      <w:r w:rsidRPr="00546F71">
        <w:t>35</w:t>
      </w:r>
      <w:r w:rsidR="00E15368">
        <w:t xml:space="preserve">. В случае нарушения организацией водопроводно-канализационного хозяйства режима </w:t>
      </w:r>
      <w:r w:rsidR="00E15368">
        <w:lastRenderedPageBreak/>
        <w:t>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546F71">
      <w:pPr>
        <w:pStyle w:val="ConsPlusNormal"/>
        <w:spacing w:before="220"/>
        <w:ind w:firstLine="540"/>
        <w:jc w:val="both"/>
      </w:pPr>
      <w:r w:rsidRPr="00546F71">
        <w:t>36</w:t>
      </w:r>
      <w:r w:rsidR="00E15368">
        <w:t>.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5368" w:rsidRDefault="00E15368">
      <w:pPr>
        <w:pStyle w:val="ConsPlusNormal"/>
        <w:ind w:firstLine="540"/>
        <w:jc w:val="both"/>
      </w:pPr>
    </w:p>
    <w:p w:rsidR="00E15368" w:rsidRDefault="00E15368">
      <w:pPr>
        <w:pStyle w:val="ConsPlusNormal"/>
        <w:jc w:val="center"/>
        <w:outlineLvl w:val="1"/>
      </w:pPr>
      <w:r>
        <w:t>XV. Обстоятельства непреодолимой силы</w:t>
      </w:r>
    </w:p>
    <w:p w:rsidR="00E15368" w:rsidRDefault="00E15368">
      <w:pPr>
        <w:pStyle w:val="ConsPlusNormal"/>
        <w:ind w:firstLine="540"/>
        <w:jc w:val="both"/>
      </w:pPr>
    </w:p>
    <w:p w:rsidR="00E15368" w:rsidRDefault="00546F71">
      <w:pPr>
        <w:pStyle w:val="ConsPlusNormal"/>
        <w:ind w:firstLine="540"/>
        <w:jc w:val="both"/>
      </w:pPr>
      <w:r w:rsidRPr="00546F71">
        <w:t>37</w:t>
      </w:r>
      <w:r w:rsidR="00E15368">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546F71">
      <w:pPr>
        <w:pStyle w:val="ConsPlusNormal"/>
        <w:spacing w:before="220"/>
        <w:ind w:firstLine="540"/>
        <w:jc w:val="both"/>
      </w:pPr>
      <w:r w:rsidRPr="00546F71">
        <w:t>38</w:t>
      </w:r>
      <w:r w:rsidR="00E15368">
        <w:t>.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XVI. Срок действия договора</w:t>
      </w:r>
    </w:p>
    <w:p w:rsidR="00E15368" w:rsidRDefault="00E15368">
      <w:pPr>
        <w:pStyle w:val="ConsPlusNormal"/>
        <w:jc w:val="center"/>
      </w:pPr>
    </w:p>
    <w:p w:rsidR="00E15368" w:rsidRPr="00445F32" w:rsidRDefault="00546F71">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39</w:t>
      </w:r>
      <w:r w:rsidR="00E15368" w:rsidRPr="00445F32">
        <w:rPr>
          <w:rFonts w:asciiTheme="minorHAnsi" w:hAnsiTheme="minorHAnsi"/>
          <w:sz w:val="22"/>
          <w:szCs w:val="22"/>
        </w:rPr>
        <w:t>. Настоящий договор вступает в силу с 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дату)</w:t>
      </w:r>
    </w:p>
    <w:p w:rsidR="00E15368" w:rsidRPr="00445F32" w:rsidRDefault="00546F71">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40</w:t>
      </w:r>
      <w:r w:rsidR="00E15368" w:rsidRPr="00445F32">
        <w:rPr>
          <w:rFonts w:asciiTheme="minorHAnsi" w:hAnsiTheme="minorHAnsi"/>
          <w:sz w:val="22"/>
          <w:szCs w:val="22"/>
        </w:rPr>
        <w:t>. Настоящий договор заключен на срок 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срок)</w:t>
      </w:r>
    </w:p>
    <w:p w:rsidR="00E15368" w:rsidRDefault="00546F71">
      <w:pPr>
        <w:pStyle w:val="ConsPlusNormal"/>
        <w:ind w:firstLine="540"/>
        <w:jc w:val="both"/>
      </w:pPr>
      <w:r w:rsidRPr="00546F71">
        <w:t>41</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546F71">
      <w:pPr>
        <w:pStyle w:val="ConsPlusNormal"/>
        <w:spacing w:before="220"/>
        <w:ind w:firstLine="540"/>
        <w:jc w:val="both"/>
      </w:pPr>
      <w:r w:rsidRPr="00546F71">
        <w:t>42</w:t>
      </w:r>
      <w:r w:rsidR="00E15368">
        <w:t>. Настоящий договор может быть расторгнут до окончания срока его действия по обоюдному согласию сторон.</w:t>
      </w:r>
    </w:p>
    <w:p w:rsidR="00E15368" w:rsidRDefault="00546F71">
      <w:pPr>
        <w:pStyle w:val="ConsPlusNormal"/>
        <w:spacing w:before="220"/>
        <w:ind w:firstLine="540"/>
        <w:jc w:val="both"/>
      </w:pPr>
      <w:r w:rsidRPr="00546F71">
        <w:t>43</w:t>
      </w:r>
      <w:r w:rsidR="00E15368">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E15368" w:rsidRDefault="00E15368">
      <w:pPr>
        <w:pStyle w:val="ConsPlusNormal"/>
        <w:ind w:firstLine="540"/>
        <w:jc w:val="both"/>
      </w:pPr>
    </w:p>
    <w:p w:rsidR="00E15368" w:rsidRDefault="00E15368">
      <w:pPr>
        <w:pStyle w:val="ConsPlusNormal"/>
        <w:jc w:val="center"/>
        <w:outlineLvl w:val="1"/>
      </w:pPr>
      <w:r>
        <w:t>XVII. Прочие условия</w:t>
      </w:r>
    </w:p>
    <w:p w:rsidR="00E15368" w:rsidRDefault="00E15368">
      <w:pPr>
        <w:pStyle w:val="ConsPlusNormal"/>
        <w:jc w:val="center"/>
      </w:pPr>
    </w:p>
    <w:p w:rsidR="00E15368" w:rsidRDefault="00546F71">
      <w:pPr>
        <w:pStyle w:val="ConsPlusNormal"/>
        <w:ind w:firstLine="540"/>
        <w:jc w:val="both"/>
      </w:pPr>
      <w:r w:rsidRPr="00546F71">
        <w:t>44</w:t>
      </w:r>
      <w:r w:rsidR="00E15368">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546F71">
      <w:pPr>
        <w:pStyle w:val="ConsPlusNormal"/>
        <w:spacing w:before="220"/>
        <w:ind w:firstLine="540"/>
        <w:jc w:val="both"/>
      </w:pPr>
      <w:r w:rsidRPr="00546F71">
        <w:t>45</w:t>
      </w:r>
      <w:r w:rsidR="00E15368">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w:t>
      </w:r>
      <w:r w:rsidR="00E15368">
        <w:lastRenderedPageBreak/>
        <w:t>уведомления адресатом.</w:t>
      </w:r>
    </w:p>
    <w:p w:rsidR="00E15368" w:rsidRDefault="00546F71">
      <w:pPr>
        <w:pStyle w:val="ConsPlusNormal"/>
        <w:spacing w:before="220"/>
        <w:ind w:firstLine="540"/>
        <w:jc w:val="both"/>
      </w:pPr>
      <w:r w:rsidRPr="00546F71">
        <w:t>46</w:t>
      </w:r>
      <w:r w:rsidR="00E15368">
        <w:t>. При исполнении настоящего договора стороны обязуются руководствоваться законодательством Российской Федерации.</w:t>
      </w:r>
    </w:p>
    <w:p w:rsidR="00E15368" w:rsidRDefault="00546F71">
      <w:pPr>
        <w:pStyle w:val="ConsPlusNormal"/>
        <w:spacing w:before="220"/>
        <w:ind w:firstLine="540"/>
        <w:jc w:val="both"/>
      </w:pPr>
      <w:r w:rsidRPr="00546F71">
        <w:t>47</w:t>
      </w:r>
      <w:r w:rsidR="00E15368">
        <w:t>. Настоящий договор составлен в двух экземплярах, имеющих одинаковую юридическую силу.</w:t>
      </w:r>
    </w:p>
    <w:p w:rsidR="00E15368" w:rsidRDefault="00546F71">
      <w:pPr>
        <w:pStyle w:val="ConsPlusNormal"/>
        <w:spacing w:before="220"/>
        <w:ind w:firstLine="540"/>
        <w:jc w:val="both"/>
      </w:pPr>
      <w:r w:rsidRPr="00546F71">
        <w:t>48</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445F32" w:rsidRDefault="00445F32" w:rsidP="00DE5397">
      <w:pPr>
        <w:pStyle w:val="ConsPlusNormal"/>
        <w:jc w:val="both"/>
      </w:pPr>
    </w:p>
    <w:p w:rsidR="00E15368" w:rsidRDefault="00E15368">
      <w:pPr>
        <w:pStyle w:val="ConsPlusNormal"/>
        <w:jc w:val="right"/>
        <w:outlineLvl w:val="1"/>
      </w:pPr>
      <w:r>
        <w:t>Приложение N 1</w:t>
      </w:r>
    </w:p>
    <w:p w:rsidR="00E15368" w:rsidRDefault="00E15368">
      <w:pPr>
        <w:pStyle w:val="ConsPlusNormal"/>
        <w:jc w:val="right"/>
      </w:pPr>
      <w:r>
        <w:t>к типовому договору водоотведения</w:t>
      </w:r>
    </w:p>
    <w:p w:rsidR="00E15368" w:rsidRDefault="00E15368" w:rsidP="00BC4763">
      <w:pPr>
        <w:pStyle w:val="ConsPlusNormal"/>
        <w:jc w:val="center"/>
      </w:pPr>
    </w:p>
    <w:p w:rsidR="00E15368" w:rsidRDefault="00E15368" w:rsidP="00DE5397">
      <w:pPr>
        <w:pStyle w:val="ConsPlusNormal"/>
        <w:jc w:val="right"/>
      </w:pPr>
      <w:r>
        <w:t>(форма)</w:t>
      </w: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w:t>
      </w:r>
    </w:p>
    <w:p w:rsidR="00E15368" w:rsidRDefault="00E15368">
      <w:pPr>
        <w:pStyle w:val="ConsPlusNonformat"/>
        <w:jc w:val="both"/>
      </w:pPr>
      <w:r>
        <w:t xml:space="preserve">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 акт</w:t>
      </w:r>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водопроводно-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445F32" w:rsidRDefault="00445F32" w:rsidP="00F33D1D">
      <w:pPr>
        <w:pStyle w:val="ConsPlusNormal"/>
        <w:outlineLvl w:val="1"/>
      </w:pPr>
    </w:p>
    <w:p w:rsidR="00F33D1D" w:rsidRDefault="00F33D1D" w:rsidP="00F33D1D">
      <w:pPr>
        <w:pStyle w:val="ConsPlusNormal"/>
        <w:outlineLvl w:val="1"/>
      </w:pPr>
    </w:p>
    <w:p w:rsidR="00E15368" w:rsidRDefault="00E15368">
      <w:pPr>
        <w:pStyle w:val="ConsPlusNormal"/>
        <w:jc w:val="right"/>
        <w:outlineLvl w:val="1"/>
      </w:pPr>
      <w:r>
        <w:lastRenderedPageBreak/>
        <w:t xml:space="preserve">Приложение N </w:t>
      </w:r>
      <w:r w:rsidR="00D12B72">
        <w:t>2</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 w:name="P824"/>
      <w:bookmarkEnd w:id="2"/>
      <w:r>
        <w:t xml:space="preserve">                                 СВЕДЕНИЯ</w:t>
      </w:r>
    </w:p>
    <w:p w:rsidR="00E15368" w:rsidRDefault="00E15368" w:rsidP="00BC4763">
      <w:pPr>
        <w:pStyle w:val="ConsPlusNonformat"/>
        <w:jc w:val="both"/>
      </w:pPr>
      <w:r>
        <w:t xml:space="preserve">                        о режиме приема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E15368">
        <w:tc>
          <w:tcPr>
            <w:tcW w:w="2891" w:type="dxa"/>
          </w:tcPr>
          <w:p w:rsidR="00E15368" w:rsidRDefault="00E15368">
            <w:pPr>
              <w:pStyle w:val="ConsPlusNormal"/>
              <w:jc w:val="center"/>
            </w:pPr>
            <w:r>
              <w:t>Наименование объекта</w:t>
            </w:r>
          </w:p>
        </w:tc>
        <w:tc>
          <w:tcPr>
            <w:tcW w:w="2891" w:type="dxa"/>
          </w:tcPr>
          <w:p w:rsidR="00E15368" w:rsidRDefault="00E15368">
            <w:pPr>
              <w:pStyle w:val="ConsPlusNormal"/>
              <w:jc w:val="center"/>
            </w:pPr>
            <w:r>
              <w:t>Максимальный расход сточных вод (часовой)</w:t>
            </w:r>
          </w:p>
        </w:tc>
        <w:tc>
          <w:tcPr>
            <w:tcW w:w="3288" w:type="dxa"/>
          </w:tcPr>
          <w:p w:rsidR="00E15368" w:rsidRDefault="00E15368">
            <w:pPr>
              <w:pStyle w:val="ConsPlusNormal"/>
              <w:jc w:val="center"/>
            </w:pPr>
            <w:r>
              <w:t>Максимальный расход сточных вод (секундный)</w:t>
            </w:r>
          </w:p>
        </w:tc>
      </w:tr>
      <w:tr w:rsidR="00E15368">
        <w:tc>
          <w:tcPr>
            <w:tcW w:w="2891"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3288" w:type="dxa"/>
          </w:tcPr>
          <w:p w:rsidR="00E15368" w:rsidRDefault="00E15368">
            <w:pPr>
              <w:pStyle w:val="ConsPlusNormal"/>
              <w:jc w:val="center"/>
            </w:pPr>
            <w:r>
              <w:t>3</w:t>
            </w:r>
          </w:p>
        </w:tc>
      </w:tr>
      <w:tr w:rsidR="00E15368">
        <w:tc>
          <w:tcPr>
            <w:tcW w:w="2891" w:type="dxa"/>
          </w:tcPr>
          <w:p w:rsidR="00E15368" w:rsidRDefault="00E15368">
            <w:pPr>
              <w:pStyle w:val="ConsPlusNormal"/>
              <w:jc w:val="center"/>
            </w:pPr>
          </w:p>
        </w:tc>
        <w:tc>
          <w:tcPr>
            <w:tcW w:w="2891" w:type="dxa"/>
          </w:tcPr>
          <w:p w:rsidR="00E15368" w:rsidRDefault="00E15368">
            <w:pPr>
              <w:pStyle w:val="ConsPlusNormal"/>
              <w:jc w:val="center"/>
            </w:pPr>
          </w:p>
        </w:tc>
        <w:tc>
          <w:tcPr>
            <w:tcW w:w="328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с __________________ по _________________ 20__ г.</w:t>
      </w:r>
    </w:p>
    <w:p w:rsidR="00E15368" w:rsidRDefault="00E15368">
      <w:pPr>
        <w:pStyle w:val="ConsPlusNonformat"/>
        <w:jc w:val="both"/>
      </w:pPr>
      <w:r>
        <w:t xml:space="preserve">    Допустимые  перерывы   в   продолжительности    приема    сточных   вод</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pPr>
    </w:p>
    <w:p w:rsidR="00D12B72" w:rsidRPr="00BC4763" w:rsidRDefault="00D12B72" w:rsidP="00546F71">
      <w:pPr>
        <w:pStyle w:val="ConsPlusNormal"/>
        <w:jc w:val="both"/>
      </w:pPr>
    </w:p>
    <w:p w:rsidR="00445F32" w:rsidRDefault="00445F32" w:rsidP="00BC4763">
      <w:pPr>
        <w:pStyle w:val="ConsPlusNormal"/>
        <w:outlineLvl w:val="1"/>
      </w:pPr>
    </w:p>
    <w:p w:rsidR="00F14D57" w:rsidRDefault="00F14D57" w:rsidP="00F14D57">
      <w:pPr>
        <w:pStyle w:val="ConsPlusNormal"/>
        <w:jc w:val="right"/>
        <w:outlineLvl w:val="1"/>
      </w:pPr>
      <w:r>
        <w:t>Приложение N 3</w:t>
      </w:r>
    </w:p>
    <w:p w:rsidR="00F14D57" w:rsidRDefault="00F14D57" w:rsidP="00F14D57">
      <w:pPr>
        <w:pStyle w:val="ConsPlusNormal"/>
        <w:jc w:val="right"/>
      </w:pPr>
      <w:r>
        <w:t>к типовому договору водоотведения</w:t>
      </w:r>
    </w:p>
    <w:p w:rsidR="00F14D57" w:rsidRDefault="00F14D57" w:rsidP="00F14D57">
      <w:pPr>
        <w:pStyle w:val="ConsPlusNormal"/>
        <w:jc w:val="right"/>
      </w:pPr>
    </w:p>
    <w:p w:rsidR="00F14D57" w:rsidRDefault="00F14D57" w:rsidP="00F14D57">
      <w:pPr>
        <w:pStyle w:val="ConsPlusNormal"/>
        <w:jc w:val="right"/>
      </w:pPr>
      <w:r>
        <w:t>(форма)</w:t>
      </w:r>
    </w:p>
    <w:p w:rsidR="00F14D57" w:rsidRDefault="00F14D57" w:rsidP="00F14D57">
      <w:pPr>
        <w:pStyle w:val="ConsPlusNormal"/>
      </w:pPr>
    </w:p>
    <w:p w:rsidR="00F14D57" w:rsidRDefault="00F14D57" w:rsidP="00F14D57">
      <w:pPr>
        <w:pStyle w:val="ConsPlusNonformat"/>
        <w:jc w:val="both"/>
      </w:pPr>
      <w:bookmarkStart w:id="3" w:name="P857"/>
      <w:bookmarkEnd w:id="3"/>
      <w:r>
        <w:t xml:space="preserve">                                 СВЕДЕНИЯ</w:t>
      </w:r>
    </w:p>
    <w:p w:rsidR="00F14D57" w:rsidRDefault="00F14D57" w:rsidP="00B97E53">
      <w:pPr>
        <w:pStyle w:val="ConsPlusNormal"/>
        <w:jc w:val="center"/>
      </w:pPr>
      <w:r>
        <w:t>об узлах учета и приборах учета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F14D57" w:rsidTr="009C36E8">
        <w:tc>
          <w:tcPr>
            <w:tcW w:w="3685" w:type="dxa"/>
          </w:tcPr>
          <w:p w:rsidR="00F14D57" w:rsidRDefault="00F14D57" w:rsidP="009C36E8">
            <w:pPr>
              <w:pStyle w:val="ConsPlusNormal"/>
              <w:jc w:val="center"/>
            </w:pPr>
            <w:r>
              <w:t>Показания приборов учета на начало подачи ресурса</w:t>
            </w:r>
          </w:p>
        </w:tc>
        <w:tc>
          <w:tcPr>
            <w:tcW w:w="2608" w:type="dxa"/>
          </w:tcPr>
          <w:p w:rsidR="00F14D57" w:rsidRDefault="00F14D57" w:rsidP="009C36E8">
            <w:pPr>
              <w:pStyle w:val="ConsPlusNormal"/>
              <w:jc w:val="center"/>
            </w:pPr>
            <w:r>
              <w:t>Дата опломбирования</w:t>
            </w:r>
          </w:p>
        </w:tc>
        <w:tc>
          <w:tcPr>
            <w:tcW w:w="2778" w:type="dxa"/>
          </w:tcPr>
          <w:p w:rsidR="00F14D57" w:rsidRDefault="00F14D57" w:rsidP="009C36E8">
            <w:pPr>
              <w:pStyle w:val="ConsPlusNormal"/>
              <w:jc w:val="center"/>
            </w:pPr>
            <w:r>
              <w:t>Дата очередной поверки</w:t>
            </w:r>
          </w:p>
        </w:tc>
      </w:tr>
      <w:tr w:rsidR="00F14D57" w:rsidTr="009C36E8">
        <w:tc>
          <w:tcPr>
            <w:tcW w:w="3685" w:type="dxa"/>
          </w:tcPr>
          <w:p w:rsidR="00F14D57" w:rsidRDefault="00F14D57" w:rsidP="009C36E8">
            <w:pPr>
              <w:pStyle w:val="ConsPlusNormal"/>
              <w:jc w:val="center"/>
            </w:pPr>
            <w:r>
              <w:t>1</w:t>
            </w:r>
          </w:p>
        </w:tc>
        <w:tc>
          <w:tcPr>
            <w:tcW w:w="2608" w:type="dxa"/>
          </w:tcPr>
          <w:p w:rsidR="00F14D57" w:rsidRDefault="00F14D57" w:rsidP="009C36E8">
            <w:pPr>
              <w:pStyle w:val="ConsPlusNormal"/>
              <w:jc w:val="center"/>
            </w:pPr>
            <w:r>
              <w:t>2</w:t>
            </w:r>
          </w:p>
        </w:tc>
        <w:tc>
          <w:tcPr>
            <w:tcW w:w="2778" w:type="dxa"/>
          </w:tcPr>
          <w:p w:rsidR="00F14D57" w:rsidRDefault="00F14D57" w:rsidP="009C36E8">
            <w:pPr>
              <w:pStyle w:val="ConsPlusNormal"/>
              <w:jc w:val="center"/>
            </w:pPr>
            <w:r>
              <w:t>3</w:t>
            </w:r>
          </w:p>
        </w:tc>
      </w:tr>
      <w:tr w:rsidR="00F14D57" w:rsidTr="009C36E8">
        <w:tc>
          <w:tcPr>
            <w:tcW w:w="3685" w:type="dxa"/>
          </w:tcPr>
          <w:p w:rsidR="00F14D57" w:rsidRDefault="00F14D57" w:rsidP="009C36E8">
            <w:pPr>
              <w:pStyle w:val="ConsPlusNormal"/>
              <w:jc w:val="center"/>
            </w:pPr>
          </w:p>
        </w:tc>
        <w:tc>
          <w:tcPr>
            <w:tcW w:w="2608" w:type="dxa"/>
          </w:tcPr>
          <w:p w:rsidR="00F14D57" w:rsidRDefault="00F14D57" w:rsidP="009C36E8">
            <w:pPr>
              <w:pStyle w:val="ConsPlusNormal"/>
              <w:jc w:val="center"/>
            </w:pPr>
          </w:p>
        </w:tc>
        <w:tc>
          <w:tcPr>
            <w:tcW w:w="2778" w:type="dxa"/>
          </w:tcPr>
          <w:p w:rsidR="00F14D57" w:rsidRDefault="00F14D57" w:rsidP="009C36E8">
            <w:pPr>
              <w:pStyle w:val="ConsPlusNormal"/>
              <w:jc w:val="center"/>
            </w:pPr>
          </w:p>
        </w:tc>
      </w:tr>
    </w:tbl>
    <w:p w:rsidR="00F14D57" w:rsidRDefault="00F14D57" w:rsidP="00F14D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F14D57" w:rsidTr="009C36E8">
        <w:tc>
          <w:tcPr>
            <w:tcW w:w="2494" w:type="dxa"/>
          </w:tcPr>
          <w:p w:rsidR="00F14D57" w:rsidRDefault="00F14D57" w:rsidP="009C36E8">
            <w:pPr>
              <w:pStyle w:val="ConsPlusNormal"/>
              <w:jc w:val="center"/>
            </w:pPr>
            <w:r>
              <w:t>Расположение узла учета</w:t>
            </w:r>
          </w:p>
        </w:tc>
        <w:tc>
          <w:tcPr>
            <w:tcW w:w="1644" w:type="dxa"/>
          </w:tcPr>
          <w:p w:rsidR="00F14D57" w:rsidRDefault="00F14D57" w:rsidP="009C36E8">
            <w:pPr>
              <w:pStyle w:val="ConsPlusNormal"/>
              <w:jc w:val="center"/>
            </w:pPr>
            <w:r>
              <w:t>Диаметр прибора учета, мм</w:t>
            </w:r>
          </w:p>
        </w:tc>
        <w:tc>
          <w:tcPr>
            <w:tcW w:w="2211" w:type="dxa"/>
          </w:tcPr>
          <w:p w:rsidR="00F14D57" w:rsidRDefault="00F14D57" w:rsidP="009C36E8">
            <w:pPr>
              <w:pStyle w:val="ConsPlusNormal"/>
              <w:jc w:val="center"/>
            </w:pPr>
            <w:r>
              <w:t>Марка и заводской номер прибора учета</w:t>
            </w:r>
          </w:p>
        </w:tc>
        <w:tc>
          <w:tcPr>
            <w:tcW w:w="2721" w:type="dxa"/>
          </w:tcPr>
          <w:p w:rsidR="00F14D57" w:rsidRDefault="00F14D57" w:rsidP="009C36E8">
            <w:pPr>
              <w:pStyle w:val="ConsPlusNormal"/>
              <w:jc w:val="center"/>
            </w:pPr>
            <w:r>
              <w:t>Технический паспорт прилагается (указать количество листов)</w:t>
            </w:r>
          </w:p>
        </w:tc>
      </w:tr>
      <w:tr w:rsidR="00F14D57" w:rsidTr="009C36E8">
        <w:tc>
          <w:tcPr>
            <w:tcW w:w="2494" w:type="dxa"/>
          </w:tcPr>
          <w:p w:rsidR="00F14D57" w:rsidRDefault="00F14D57" w:rsidP="009C36E8">
            <w:pPr>
              <w:pStyle w:val="ConsPlusNormal"/>
              <w:jc w:val="center"/>
            </w:pPr>
            <w:r>
              <w:t>1</w:t>
            </w:r>
          </w:p>
        </w:tc>
        <w:tc>
          <w:tcPr>
            <w:tcW w:w="1644" w:type="dxa"/>
          </w:tcPr>
          <w:p w:rsidR="00F14D57" w:rsidRDefault="00F14D57" w:rsidP="009C36E8">
            <w:pPr>
              <w:pStyle w:val="ConsPlusNormal"/>
              <w:jc w:val="center"/>
            </w:pPr>
            <w:r>
              <w:t>2</w:t>
            </w:r>
          </w:p>
        </w:tc>
        <w:tc>
          <w:tcPr>
            <w:tcW w:w="2211" w:type="dxa"/>
          </w:tcPr>
          <w:p w:rsidR="00F14D57" w:rsidRDefault="00F14D57" w:rsidP="009C36E8">
            <w:pPr>
              <w:pStyle w:val="ConsPlusNormal"/>
              <w:jc w:val="center"/>
            </w:pPr>
            <w:r>
              <w:t>3</w:t>
            </w:r>
          </w:p>
        </w:tc>
        <w:tc>
          <w:tcPr>
            <w:tcW w:w="2721" w:type="dxa"/>
          </w:tcPr>
          <w:p w:rsidR="00F14D57" w:rsidRDefault="00F14D57" w:rsidP="009C36E8">
            <w:pPr>
              <w:pStyle w:val="ConsPlusNormal"/>
              <w:jc w:val="center"/>
            </w:pPr>
            <w:r>
              <w:t>4</w:t>
            </w:r>
          </w:p>
        </w:tc>
      </w:tr>
      <w:tr w:rsidR="00F14D57" w:rsidTr="009C36E8">
        <w:tc>
          <w:tcPr>
            <w:tcW w:w="2494" w:type="dxa"/>
          </w:tcPr>
          <w:p w:rsidR="00F14D57" w:rsidRDefault="00F14D57" w:rsidP="009C36E8">
            <w:pPr>
              <w:pStyle w:val="ConsPlusNormal"/>
              <w:jc w:val="center"/>
            </w:pPr>
          </w:p>
        </w:tc>
        <w:tc>
          <w:tcPr>
            <w:tcW w:w="1644" w:type="dxa"/>
          </w:tcPr>
          <w:p w:rsidR="00F14D57" w:rsidRDefault="00F14D57" w:rsidP="009C36E8">
            <w:pPr>
              <w:pStyle w:val="ConsPlusNormal"/>
              <w:jc w:val="center"/>
            </w:pPr>
          </w:p>
        </w:tc>
        <w:tc>
          <w:tcPr>
            <w:tcW w:w="2211" w:type="dxa"/>
          </w:tcPr>
          <w:p w:rsidR="00F14D57" w:rsidRDefault="00F14D57" w:rsidP="009C36E8">
            <w:pPr>
              <w:pStyle w:val="ConsPlusNormal"/>
              <w:jc w:val="center"/>
            </w:pPr>
          </w:p>
        </w:tc>
        <w:tc>
          <w:tcPr>
            <w:tcW w:w="2721" w:type="dxa"/>
          </w:tcPr>
          <w:p w:rsidR="00F14D57" w:rsidRDefault="00F14D57" w:rsidP="009C36E8">
            <w:pPr>
              <w:pStyle w:val="ConsPlusNormal"/>
              <w:jc w:val="center"/>
            </w:pPr>
          </w:p>
        </w:tc>
      </w:tr>
    </w:tbl>
    <w:p w:rsidR="00445F32" w:rsidRDefault="00445F32" w:rsidP="00F14D57">
      <w:pPr>
        <w:pStyle w:val="ConsPlusNormal"/>
        <w:outlineLvl w:val="1"/>
      </w:pPr>
    </w:p>
    <w:p w:rsidR="00BC4763" w:rsidRDefault="00BC4763" w:rsidP="00BC4763">
      <w:pPr>
        <w:pStyle w:val="ConsPlusNonformat"/>
        <w:jc w:val="both"/>
      </w:pPr>
      <w:r>
        <w:t>Организация водопроводно-                                           Абонент</w:t>
      </w:r>
    </w:p>
    <w:p w:rsidR="00BC4763" w:rsidRDefault="00BC4763" w:rsidP="00BC4763">
      <w:pPr>
        <w:pStyle w:val="ConsPlusNonformat"/>
        <w:jc w:val="both"/>
      </w:pPr>
      <w:r>
        <w:t>канализационного хозяйства</w:t>
      </w:r>
    </w:p>
    <w:p w:rsidR="00BC4763" w:rsidRDefault="00BC4763" w:rsidP="00BC4763">
      <w:pPr>
        <w:pStyle w:val="ConsPlusNonformat"/>
        <w:jc w:val="both"/>
      </w:pPr>
    </w:p>
    <w:p w:rsidR="00BC4763" w:rsidRDefault="00BC4763" w:rsidP="00BC4763">
      <w:pPr>
        <w:pStyle w:val="ConsPlusNonformat"/>
        <w:jc w:val="both"/>
      </w:pPr>
      <w:r>
        <w:t>______________________________________ ____________________________________</w:t>
      </w:r>
    </w:p>
    <w:p w:rsidR="00BC4763" w:rsidRDefault="00BC4763" w:rsidP="00BC4763">
      <w:pPr>
        <w:pStyle w:val="ConsPlusNonformat"/>
        <w:jc w:val="both"/>
      </w:pPr>
    </w:p>
    <w:p w:rsidR="00BC4763" w:rsidRDefault="00BC4763" w:rsidP="00BC4763">
      <w:pPr>
        <w:pStyle w:val="ConsPlusNonformat"/>
        <w:jc w:val="both"/>
      </w:pPr>
      <w:r>
        <w:t>"__" ___________________ 20__ г.           "__" ___________________ 20__ г.</w:t>
      </w:r>
    </w:p>
    <w:p w:rsidR="00E15368" w:rsidRDefault="00F14D57">
      <w:pPr>
        <w:pStyle w:val="ConsPlusNormal"/>
        <w:jc w:val="right"/>
        <w:outlineLvl w:val="1"/>
      </w:pPr>
      <w:r>
        <w:lastRenderedPageBreak/>
        <w:t>Приложение N 4</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4" w:name="P913"/>
      <w:bookmarkEnd w:id="4"/>
      <w:r>
        <w:t xml:space="preserve">                                 СВЕДЕНИЯ</w:t>
      </w:r>
    </w:p>
    <w:p w:rsidR="00E15368" w:rsidRDefault="00F14D57">
      <w:pPr>
        <w:pStyle w:val="ConsPlusNonformat"/>
        <w:jc w:val="both"/>
      </w:pPr>
      <w:r>
        <w:t xml:space="preserve">        о расчетной величине</w:t>
      </w:r>
      <w:r w:rsidR="00E15368">
        <w:t xml:space="preserve"> отводимых в централизованную систему</w:t>
      </w:r>
    </w:p>
    <w:p w:rsidR="00E15368" w:rsidRDefault="00E15368">
      <w:pPr>
        <w:pStyle w:val="ConsPlusNonformat"/>
        <w:jc w:val="both"/>
      </w:pPr>
      <w:r>
        <w:t xml:space="preserve">           водоотведения сточных вод, установленных для абонента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Месяц</w:t>
            </w:r>
          </w:p>
        </w:tc>
        <w:tc>
          <w:tcPr>
            <w:tcW w:w="4479" w:type="dxa"/>
          </w:tcPr>
          <w:p w:rsidR="00E15368" w:rsidRDefault="00E15368">
            <w:pPr>
              <w:pStyle w:val="ConsPlusNormal"/>
              <w:jc w:val="center"/>
            </w:pPr>
            <w:r>
              <w:t>Сточные воды, куб. м</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pPr>
            <w:r>
              <w:t>Январь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Февраль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Март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Апрель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Май</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Июнь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Август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Сентябрь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Октябрь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Ноябрь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Декабрь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Итого</w:t>
            </w: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6C2F1E" w:rsidRDefault="006C2F1E">
      <w:pPr>
        <w:rPr>
          <w:rFonts w:ascii="Calibri" w:eastAsia="Times New Roman" w:hAnsi="Calibri" w:cs="Calibri"/>
          <w:szCs w:val="20"/>
          <w:lang w:eastAsia="ru-RU"/>
        </w:rPr>
      </w:pPr>
    </w:p>
    <w:sectPr w:rsidR="006C2F1E"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15368"/>
    <w:rsid w:val="000328E7"/>
    <w:rsid w:val="00062425"/>
    <w:rsid w:val="00074484"/>
    <w:rsid w:val="000B1715"/>
    <w:rsid w:val="00104329"/>
    <w:rsid w:val="001342EE"/>
    <w:rsid w:val="002027C8"/>
    <w:rsid w:val="0026649B"/>
    <w:rsid w:val="002727AC"/>
    <w:rsid w:val="00296E9E"/>
    <w:rsid w:val="00326976"/>
    <w:rsid w:val="00332CB9"/>
    <w:rsid w:val="00363F2D"/>
    <w:rsid w:val="003751A3"/>
    <w:rsid w:val="003A3937"/>
    <w:rsid w:val="003B1632"/>
    <w:rsid w:val="004357FA"/>
    <w:rsid w:val="00445F32"/>
    <w:rsid w:val="00455D6C"/>
    <w:rsid w:val="0049149A"/>
    <w:rsid w:val="00495973"/>
    <w:rsid w:val="004A62D3"/>
    <w:rsid w:val="004D6753"/>
    <w:rsid w:val="00534BF8"/>
    <w:rsid w:val="00546F71"/>
    <w:rsid w:val="0057512C"/>
    <w:rsid w:val="005C16AD"/>
    <w:rsid w:val="005F0F4A"/>
    <w:rsid w:val="006302D0"/>
    <w:rsid w:val="0069388A"/>
    <w:rsid w:val="006A1865"/>
    <w:rsid w:val="006B0B7E"/>
    <w:rsid w:val="006C2F1E"/>
    <w:rsid w:val="006D132E"/>
    <w:rsid w:val="00700A38"/>
    <w:rsid w:val="007028EE"/>
    <w:rsid w:val="00767DE2"/>
    <w:rsid w:val="007B5135"/>
    <w:rsid w:val="007D21C6"/>
    <w:rsid w:val="007E6EB8"/>
    <w:rsid w:val="00804CB7"/>
    <w:rsid w:val="0081109F"/>
    <w:rsid w:val="00831D54"/>
    <w:rsid w:val="008759CF"/>
    <w:rsid w:val="00882806"/>
    <w:rsid w:val="008C2537"/>
    <w:rsid w:val="008E089C"/>
    <w:rsid w:val="008F2140"/>
    <w:rsid w:val="009553DB"/>
    <w:rsid w:val="00991846"/>
    <w:rsid w:val="009D0D6E"/>
    <w:rsid w:val="009D0EE3"/>
    <w:rsid w:val="009D657F"/>
    <w:rsid w:val="00A074FF"/>
    <w:rsid w:val="00A21B76"/>
    <w:rsid w:val="00A90342"/>
    <w:rsid w:val="00B11E14"/>
    <w:rsid w:val="00B30C06"/>
    <w:rsid w:val="00B3646B"/>
    <w:rsid w:val="00B97E53"/>
    <w:rsid w:val="00BC4763"/>
    <w:rsid w:val="00BE1280"/>
    <w:rsid w:val="00BF15EF"/>
    <w:rsid w:val="00C012F6"/>
    <w:rsid w:val="00C577E2"/>
    <w:rsid w:val="00C673B5"/>
    <w:rsid w:val="00D12B72"/>
    <w:rsid w:val="00D1376C"/>
    <w:rsid w:val="00D3602F"/>
    <w:rsid w:val="00DE5397"/>
    <w:rsid w:val="00DF4A65"/>
    <w:rsid w:val="00E15368"/>
    <w:rsid w:val="00E62CA2"/>
    <w:rsid w:val="00E8219A"/>
    <w:rsid w:val="00ED7A13"/>
    <w:rsid w:val="00F012EB"/>
    <w:rsid w:val="00F14D57"/>
    <w:rsid w:val="00F33D1D"/>
    <w:rsid w:val="00F62875"/>
    <w:rsid w:val="00F85B2C"/>
    <w:rsid w:val="00FA1640"/>
    <w:rsid w:val="00FA6BC2"/>
    <w:rsid w:val="00FB4B41"/>
    <w:rsid w:val="00FB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0C77ADD5A38004EF5829B3FB0BED8401E99CE5FC951366E7069807F56834D14CF588D320452A79FPAR0F" TargetMode="External"/><Relationship Id="rId13" Type="http://schemas.openxmlformats.org/officeDocument/2006/relationships/hyperlink" Target="consultantplus://offline/ref=FC27E738AAAEAB4E94F56D39A066552FB1C670DE5B34004EF5829B3FB0BED8401E99CE5FC951366E7069807F56834D14CF588D320452A79FPAR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1C670DE5B34004EF5829B3FB0BED8401E99CE5FC951366E7069807F56834D14CF588D320452A79FPAR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27E738AAAEAB4E94F56D39A066552FB0C77ADD5A38004EF5829B3FB0BED8401E99CE5FC951366E7069807F56834D14CF588D320452A79FPAR0F" TargetMode="Externa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5" Type="http://schemas.openxmlformats.org/officeDocument/2006/relationships/hyperlink" Target="consultantplus://offline/ref=FC27E738AAAEAB4E94F56D39A066552FB0C77ADD5A38004EF5829B3FB0BED8401E99CE5FC951366E7069807F56834D14CF588D320452A79FPAR0F" TargetMode="External"/><Relationship Id="rId15" Type="http://schemas.openxmlformats.org/officeDocument/2006/relationships/hyperlink" Target="consultantplus://offline/ref=FC27E738AAAEAB4E94F56D39A066552FB0C77ADD543A004EF5829B3FB0BED8400C999653C857286E727CD62E13PDREF" TargetMode="External"/><Relationship Id="rId10" Type="http://schemas.openxmlformats.org/officeDocument/2006/relationships/hyperlink" Target="consultantplus://offline/ref=FC27E738AAAEAB4E94F56D39A066552FB0C77ADD5A38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0C77ADD5A38004EF5829B3FB0BED8401E99CE5FC951366E7069807F56834D14CF588D320452A79FPAR0F" TargetMode="External"/><Relationship Id="rId14" Type="http://schemas.openxmlformats.org/officeDocument/2006/relationships/hyperlink" Target="consultantplus://offline/ref=FC27E738AAAEAB4E94F56D39A066552FB1C670DE5B34004EF5829B3FB0BED8401E99CE5FC951366E7069807F56834D14CF588D320452A79FPA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EA47C-3FE0-4DFE-8621-16B5F421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5295</Words>
  <Characters>30187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2</cp:revision>
  <dcterms:created xsi:type="dcterms:W3CDTF">2020-12-21T03:00:00Z</dcterms:created>
  <dcterms:modified xsi:type="dcterms:W3CDTF">2020-12-21T03:00:00Z</dcterms:modified>
</cp:coreProperties>
</file>